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C5D8" w14:textId="149EECC1" w:rsidR="005B5C77" w:rsidRDefault="004F3143" w:rsidP="009C50E6">
      <w:pPr>
        <w:rPr>
          <w:rFonts w:asciiTheme="majorHAnsi" w:hAnsiTheme="majorHAnsi"/>
        </w:rPr>
      </w:pPr>
      <w:bookmarkStart w:id="0" w:name="_GoBack"/>
      <w:bookmarkEnd w:id="0"/>
      <w:r w:rsidRPr="00E64D10">
        <w:rPr>
          <w:rFonts w:asciiTheme="majorHAnsi" w:hAnsiTheme="majorHAnsi"/>
          <w:b/>
        </w:rPr>
        <w:t xml:space="preserve">Table. </w:t>
      </w:r>
      <w:r w:rsidR="004A3AC9" w:rsidRPr="00E64D10">
        <w:rPr>
          <w:rFonts w:asciiTheme="majorHAnsi" w:hAnsiTheme="majorHAnsi"/>
          <w:b/>
        </w:rPr>
        <w:t>Study proposals</w:t>
      </w:r>
      <w:r w:rsidR="00BA09BA">
        <w:rPr>
          <w:rFonts w:asciiTheme="majorHAnsi" w:hAnsiTheme="majorHAnsi"/>
          <w:b/>
        </w:rPr>
        <w:t xml:space="preserve"> for voting 2</w:t>
      </w:r>
      <w:r w:rsidRPr="00E64D10">
        <w:rPr>
          <w:rFonts w:asciiTheme="majorHAnsi" w:hAnsiTheme="majorHAnsi"/>
          <w:b/>
        </w:rPr>
        <w:t>.</w:t>
      </w:r>
      <w:r w:rsidR="004A3AC9" w:rsidRPr="00E64D10">
        <w:rPr>
          <w:rFonts w:asciiTheme="majorHAnsi" w:hAnsiTheme="majorHAnsi"/>
          <w:b/>
        </w:rPr>
        <w:t xml:space="preserve"> </w:t>
      </w:r>
      <w:r w:rsidR="000C61E2" w:rsidRPr="002E7FFD">
        <w:rPr>
          <w:rFonts w:asciiTheme="majorHAnsi" w:hAnsiTheme="majorHAnsi"/>
        </w:rPr>
        <w:t>Please find all abbreviations at the end of the document.</w:t>
      </w:r>
    </w:p>
    <w:p w14:paraId="49C7D2F5" w14:textId="77777777" w:rsidR="00D42652" w:rsidRPr="00E55693" w:rsidRDefault="00D42652" w:rsidP="009C50E6">
      <w:pPr>
        <w:rPr>
          <w:rFonts w:asciiTheme="majorHAnsi" w:hAnsiTheme="majorHAnsi"/>
          <w:b/>
        </w:rPr>
      </w:pPr>
    </w:p>
    <w:tbl>
      <w:tblPr>
        <w:tblStyle w:val="Listeclaire-Accent1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5"/>
        <w:gridCol w:w="2463"/>
        <w:gridCol w:w="1741"/>
        <w:gridCol w:w="1603"/>
        <w:gridCol w:w="374"/>
        <w:gridCol w:w="2263"/>
        <w:gridCol w:w="2918"/>
        <w:gridCol w:w="2701"/>
      </w:tblGrid>
      <w:tr w:rsidR="00F42A6F" w:rsidRPr="00774B82" w14:paraId="65C663B0" w14:textId="77777777" w:rsidTr="00954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8" w:type="dxa"/>
            <w:gridSpan w:val="8"/>
            <w:tcBorders>
              <w:bottom w:val="single" w:sz="8" w:space="0" w:color="4F81BD" w:themeColor="accent1"/>
            </w:tcBorders>
            <w:shd w:val="clear" w:color="auto" w:fill="548DD4" w:themeFill="text2" w:themeFillTint="99"/>
          </w:tcPr>
          <w:p w14:paraId="01EC6AB5" w14:textId="2A402852" w:rsidR="00F42A6F" w:rsidRPr="00776747" w:rsidRDefault="00F42A6F" w:rsidP="00E10187">
            <w:pPr>
              <w:rPr>
                <w:rFonts w:asciiTheme="majorHAnsi" w:hAnsiTheme="majorHAnsi"/>
              </w:rPr>
            </w:pPr>
            <w:r w:rsidRPr="00776747">
              <w:rPr>
                <w:rFonts w:asciiTheme="majorHAnsi" w:hAnsiTheme="majorHAnsi"/>
              </w:rPr>
              <w:t>STUDY PROJECTS</w:t>
            </w:r>
            <w:r w:rsidR="00A11A8C" w:rsidRPr="00776747">
              <w:rPr>
                <w:rFonts w:asciiTheme="majorHAnsi" w:hAnsiTheme="majorHAnsi"/>
              </w:rPr>
              <w:t xml:space="preserve"> </w:t>
            </w:r>
            <w:proofErr w:type="spellStart"/>
            <w:r w:rsidR="00E10187">
              <w:rPr>
                <w:rFonts w:asciiTheme="majorHAnsi" w:hAnsiTheme="majorHAnsi"/>
              </w:rPr>
              <w:t>ranked</w:t>
            </w:r>
            <w:proofErr w:type="spellEnd"/>
            <w:r w:rsidR="00E10187">
              <w:rPr>
                <w:rFonts w:asciiTheme="majorHAnsi" w:hAnsiTheme="majorHAnsi"/>
              </w:rPr>
              <w:t xml:space="preserve"> 1-20 after </w:t>
            </w:r>
            <w:proofErr w:type="spellStart"/>
            <w:r w:rsidR="00E10187">
              <w:rPr>
                <w:rFonts w:asciiTheme="majorHAnsi" w:hAnsiTheme="majorHAnsi"/>
              </w:rPr>
              <w:t>the</w:t>
            </w:r>
            <w:proofErr w:type="spellEnd"/>
            <w:r w:rsidR="00E10187">
              <w:rPr>
                <w:rFonts w:asciiTheme="majorHAnsi" w:hAnsiTheme="majorHAnsi"/>
              </w:rPr>
              <w:t xml:space="preserve"> </w:t>
            </w:r>
            <w:proofErr w:type="spellStart"/>
            <w:r w:rsidR="00E10187">
              <w:rPr>
                <w:rFonts w:asciiTheme="majorHAnsi" w:hAnsiTheme="majorHAnsi"/>
              </w:rPr>
              <w:t>Voting</w:t>
            </w:r>
            <w:proofErr w:type="spellEnd"/>
            <w:r w:rsidR="00E10187">
              <w:rPr>
                <w:rFonts w:asciiTheme="majorHAnsi" w:hAnsiTheme="majorHAnsi"/>
              </w:rPr>
              <w:t xml:space="preserve"> </w:t>
            </w:r>
            <w:proofErr w:type="spellStart"/>
            <w:r w:rsidR="00E10187">
              <w:rPr>
                <w:rFonts w:asciiTheme="majorHAnsi" w:hAnsiTheme="majorHAnsi"/>
              </w:rPr>
              <w:t>round</w:t>
            </w:r>
            <w:proofErr w:type="spellEnd"/>
            <w:r w:rsidR="00E10187">
              <w:rPr>
                <w:rFonts w:asciiTheme="majorHAnsi" w:hAnsiTheme="majorHAnsi"/>
              </w:rPr>
              <w:t xml:space="preserve"> </w:t>
            </w:r>
            <w:proofErr w:type="spellStart"/>
            <w:r w:rsidR="00E10187">
              <w:rPr>
                <w:rFonts w:asciiTheme="majorHAnsi" w:hAnsiTheme="majorHAnsi"/>
              </w:rPr>
              <w:t>number</w:t>
            </w:r>
            <w:proofErr w:type="spellEnd"/>
            <w:r w:rsidR="00E10187">
              <w:rPr>
                <w:rFonts w:asciiTheme="majorHAnsi" w:hAnsiTheme="majorHAnsi"/>
              </w:rPr>
              <w:t xml:space="preserve"> 1</w:t>
            </w:r>
          </w:p>
        </w:tc>
      </w:tr>
      <w:tr w:rsidR="00EE560B" w:rsidRPr="00774B82" w14:paraId="67DB81A1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shd w:val="clear" w:color="auto" w:fill="99CCFF"/>
          </w:tcPr>
          <w:p w14:paraId="06EB5127" w14:textId="3F0853EA" w:rsidR="00F42A6F" w:rsidRPr="00F058BB" w:rsidRDefault="00F42A6F" w:rsidP="00FC2080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058BB">
              <w:rPr>
                <w:rFonts w:asciiTheme="majorHAnsi" w:hAnsiTheme="majorHAnsi"/>
              </w:rPr>
              <w:t xml:space="preserve">Study </w:t>
            </w:r>
            <w:proofErr w:type="spellStart"/>
            <w:r w:rsidRPr="00F058BB">
              <w:rPr>
                <w:rFonts w:asciiTheme="majorHAnsi" w:hAnsiTheme="majorHAnsi"/>
              </w:rPr>
              <w:t>acronym</w:t>
            </w:r>
            <w:proofErr w:type="spellEnd"/>
          </w:p>
        </w:tc>
        <w:tc>
          <w:tcPr>
            <w:tcW w:w="2463" w:type="dxa"/>
            <w:shd w:val="clear" w:color="auto" w:fill="99CCFF"/>
          </w:tcPr>
          <w:p w14:paraId="0C94F31A" w14:textId="67D1AD7E" w:rsidR="00F42A6F" w:rsidRPr="00F058BB" w:rsidRDefault="00F42A6F" w:rsidP="00081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 w:rsidRPr="00F058BB">
              <w:rPr>
                <w:rFonts w:asciiTheme="majorHAnsi" w:hAnsiTheme="majorHAnsi"/>
                <w:b/>
              </w:rPr>
              <w:t xml:space="preserve">Research </w:t>
            </w:r>
            <w:proofErr w:type="spellStart"/>
            <w:r w:rsidRPr="00F058BB">
              <w:rPr>
                <w:rFonts w:asciiTheme="majorHAnsi" w:hAnsiTheme="majorHAnsi"/>
                <w:b/>
              </w:rPr>
              <w:t>questions</w:t>
            </w:r>
            <w:proofErr w:type="spellEnd"/>
            <w:r w:rsidRPr="00F058BB">
              <w:rPr>
                <w:rFonts w:asciiTheme="majorHAnsi" w:hAnsiTheme="majorHAnsi"/>
                <w:b/>
              </w:rPr>
              <w:t>/</w:t>
            </w:r>
            <w:proofErr w:type="spellStart"/>
            <w:r w:rsidRPr="00F058BB">
              <w:rPr>
                <w:rFonts w:asciiTheme="majorHAnsi" w:hAnsiTheme="majorHAnsi"/>
                <w:b/>
              </w:rPr>
              <w:t>aims</w:t>
            </w:r>
            <w:proofErr w:type="spellEnd"/>
          </w:p>
        </w:tc>
        <w:tc>
          <w:tcPr>
            <w:tcW w:w="1741" w:type="dxa"/>
            <w:shd w:val="clear" w:color="auto" w:fill="99CCFF"/>
          </w:tcPr>
          <w:p w14:paraId="493EED2F" w14:textId="10764950" w:rsidR="00F42A6F" w:rsidRPr="00F058BB" w:rsidRDefault="00F42A6F" w:rsidP="00D4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 w:rsidRPr="00F058BB">
              <w:rPr>
                <w:rFonts w:asciiTheme="majorHAnsi" w:hAnsiTheme="majorHAnsi"/>
                <w:b/>
              </w:rPr>
              <w:t>Study design</w:t>
            </w:r>
          </w:p>
        </w:tc>
        <w:tc>
          <w:tcPr>
            <w:tcW w:w="1977" w:type="dxa"/>
            <w:gridSpan w:val="2"/>
            <w:shd w:val="clear" w:color="auto" w:fill="99CCFF"/>
          </w:tcPr>
          <w:p w14:paraId="0E1DFB85" w14:textId="143FFF3A" w:rsidR="00F42A6F" w:rsidRPr="00F058BB" w:rsidRDefault="00F42A6F" w:rsidP="00FC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F058BB">
              <w:rPr>
                <w:rFonts w:asciiTheme="majorHAnsi" w:hAnsiTheme="majorHAnsi"/>
                <w:b/>
              </w:rPr>
              <w:t>Subjects</w:t>
            </w:r>
            <w:proofErr w:type="spellEnd"/>
          </w:p>
        </w:tc>
        <w:tc>
          <w:tcPr>
            <w:tcW w:w="2263" w:type="dxa"/>
            <w:shd w:val="clear" w:color="auto" w:fill="99CCFF"/>
          </w:tcPr>
          <w:p w14:paraId="2F46CFD2" w14:textId="762F0A51" w:rsidR="00F42A6F" w:rsidRPr="00F058BB" w:rsidRDefault="00F42A6F" w:rsidP="00FC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 w:rsidRPr="00F058BB">
              <w:rPr>
                <w:rFonts w:asciiTheme="majorHAnsi" w:hAnsiTheme="majorHAnsi"/>
                <w:b/>
              </w:rPr>
              <w:t>Details/Intervention</w:t>
            </w:r>
          </w:p>
        </w:tc>
        <w:tc>
          <w:tcPr>
            <w:tcW w:w="2918" w:type="dxa"/>
            <w:shd w:val="clear" w:color="auto" w:fill="99CCFF"/>
          </w:tcPr>
          <w:p w14:paraId="6175FAAE" w14:textId="042D7A05" w:rsidR="00F42A6F" w:rsidRPr="00F058BB" w:rsidRDefault="00F42A6F" w:rsidP="002C3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 w:rsidRPr="00F058BB">
              <w:rPr>
                <w:rFonts w:asciiTheme="majorHAnsi" w:hAnsiTheme="majorHAnsi"/>
                <w:b/>
              </w:rPr>
              <w:t>Outcome variables</w:t>
            </w:r>
          </w:p>
        </w:tc>
        <w:tc>
          <w:tcPr>
            <w:tcW w:w="2701" w:type="dxa"/>
            <w:shd w:val="clear" w:color="auto" w:fill="99CCFF"/>
          </w:tcPr>
          <w:p w14:paraId="7A09091F" w14:textId="77777777" w:rsidR="00F42A6F" w:rsidRPr="00F058BB" w:rsidRDefault="00F42A6F" w:rsidP="00A96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 w:rsidRPr="00F058BB">
              <w:rPr>
                <w:rFonts w:asciiTheme="majorHAnsi" w:hAnsiTheme="majorHAnsi"/>
                <w:b/>
              </w:rPr>
              <w:t xml:space="preserve">Comments / </w:t>
            </w:r>
          </w:p>
          <w:p w14:paraId="061ED4EF" w14:textId="798FC30E" w:rsidR="00F42A6F" w:rsidRPr="00F058BB" w:rsidRDefault="00F42A6F" w:rsidP="00424D77">
            <w:pPr>
              <w:keepNext/>
              <w:keepLines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F058BB">
              <w:rPr>
                <w:rFonts w:asciiTheme="majorHAnsi" w:hAnsiTheme="majorHAnsi"/>
                <w:b/>
              </w:rPr>
              <w:t>problems</w:t>
            </w:r>
            <w:proofErr w:type="spellEnd"/>
            <w:r w:rsidRPr="00F058BB">
              <w:rPr>
                <w:rFonts w:asciiTheme="majorHAnsi" w:hAnsiTheme="majorHAnsi"/>
                <w:b/>
              </w:rPr>
              <w:t xml:space="preserve"> / open </w:t>
            </w:r>
            <w:proofErr w:type="spellStart"/>
            <w:r w:rsidRPr="00F058BB">
              <w:rPr>
                <w:rFonts w:asciiTheme="majorHAnsi" w:hAnsiTheme="majorHAnsi"/>
                <w:b/>
              </w:rPr>
              <w:t>questions</w:t>
            </w:r>
            <w:proofErr w:type="spellEnd"/>
          </w:p>
        </w:tc>
      </w:tr>
      <w:tr w:rsidR="00BA09BA" w:rsidRPr="00774B82" w14:paraId="61296D6E" w14:textId="77777777" w:rsidTr="00954BFD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2C71133" w14:textId="47B4A367" w:rsidR="00BA09BA" w:rsidRDefault="00E10187" w:rsidP="00BA09B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>1:</w:t>
            </w:r>
            <w:r w:rsidR="00BA09BA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  <w:r w:rsidR="00BA09BA" w:rsidRPr="005B5C77">
              <w:rPr>
                <w:rFonts w:asciiTheme="majorHAnsi" w:hAnsiTheme="majorHAnsi"/>
                <w:color w:val="0000FF"/>
                <w:sz w:val="20"/>
                <w:szCs w:val="20"/>
              </w:rPr>
              <w:t>Bio</w:t>
            </w:r>
            <w:r w:rsidR="00BA09BA">
              <w:rPr>
                <w:rFonts w:asciiTheme="majorHAnsi" w:hAnsiTheme="majorHAnsi"/>
                <w:color w:val="0000FF"/>
                <w:sz w:val="20"/>
                <w:szCs w:val="20"/>
              </w:rPr>
              <w:t>-</w:t>
            </w:r>
          </w:p>
          <w:p w14:paraId="06C192BE" w14:textId="49EB9171" w:rsidR="00BA09BA" w:rsidRDefault="00BA09BA" w:rsidP="00FC2080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proofErr w:type="spellStart"/>
            <w:r w:rsidRPr="005B5C77">
              <w:rPr>
                <w:rFonts w:asciiTheme="majorHAnsi" w:hAnsiTheme="majorHAnsi"/>
                <w:color w:val="0000FF"/>
                <w:sz w:val="20"/>
                <w:szCs w:val="20"/>
              </w:rPr>
              <w:t>markers</w:t>
            </w:r>
            <w:proofErr w:type="spellEnd"/>
            <w:r w:rsidRPr="005B5C77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5B5C77">
              <w:rPr>
                <w:rFonts w:asciiTheme="majorHAnsi" w:hAnsiTheme="majorHAnsi"/>
                <w:color w:val="0000FF"/>
                <w:sz w:val="20"/>
                <w:szCs w:val="20"/>
              </w:rPr>
              <w:t>for</w:t>
            </w:r>
            <w:proofErr w:type="spellEnd"/>
            <w:r w:rsidRPr="005B5C77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GI </w:t>
            </w:r>
            <w:proofErr w:type="spellStart"/>
            <w:r w:rsidRPr="005B5C77">
              <w:rPr>
                <w:rFonts w:asciiTheme="majorHAnsi" w:hAnsiTheme="majorHAnsi"/>
                <w:color w:val="0000FF"/>
                <w:sz w:val="20"/>
                <w:szCs w:val="20"/>
              </w:rPr>
              <w:t>dysfunction</w:t>
            </w:r>
            <w:proofErr w:type="spellEnd"/>
          </w:p>
        </w:tc>
        <w:tc>
          <w:tcPr>
            <w:tcW w:w="2463" w:type="dxa"/>
          </w:tcPr>
          <w:p w14:paraId="4B273F7D" w14:textId="6D377391" w:rsidR="00BA09BA" w:rsidRPr="003706BD" w:rsidRDefault="00BA09BA" w:rsidP="00081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6343E3">
              <w:rPr>
                <w:rFonts w:asciiTheme="majorHAnsi" w:hAnsiTheme="majorHAnsi"/>
                <w:sz w:val="20"/>
                <w:szCs w:val="20"/>
                <w:lang w:val="en-GB"/>
              </w:rPr>
              <w:t>Validate biomarkers for absorption of nutrients and GI dysfunction</w:t>
            </w:r>
          </w:p>
        </w:tc>
        <w:tc>
          <w:tcPr>
            <w:tcW w:w="1741" w:type="dxa"/>
          </w:tcPr>
          <w:p w14:paraId="3BBB8EA7" w14:textId="03596183" w:rsidR="00BA09BA" w:rsidRPr="000332B8" w:rsidRDefault="00BA09BA" w:rsidP="00D407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343E3">
              <w:rPr>
                <w:rFonts w:asciiTheme="majorHAnsi" w:hAnsiTheme="majorHAnsi"/>
                <w:sz w:val="20"/>
                <w:szCs w:val="20"/>
              </w:rPr>
              <w:t>Prospective</w:t>
            </w:r>
            <w:proofErr w:type="spellEnd"/>
            <w:r w:rsidRPr="006343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43E3">
              <w:rPr>
                <w:rFonts w:asciiTheme="majorHAnsi" w:hAnsiTheme="majorHAnsi"/>
                <w:sz w:val="20"/>
                <w:szCs w:val="20"/>
              </w:rPr>
              <w:t>observational</w:t>
            </w:r>
            <w:proofErr w:type="spellEnd"/>
            <w:r w:rsidRPr="006343E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343E3">
              <w:rPr>
                <w:rFonts w:asciiTheme="majorHAnsi" w:hAnsiTheme="majorHAnsi"/>
                <w:sz w:val="20"/>
                <w:szCs w:val="20"/>
              </w:rPr>
              <w:t>multicenter</w:t>
            </w:r>
            <w:proofErr w:type="spellEnd"/>
          </w:p>
        </w:tc>
        <w:tc>
          <w:tcPr>
            <w:tcW w:w="1977" w:type="dxa"/>
            <w:gridSpan w:val="2"/>
          </w:tcPr>
          <w:p w14:paraId="255C7A41" w14:textId="16FE9E5B" w:rsidR="00BA09BA" w:rsidRPr="003706BD" w:rsidRDefault="00BA09BA" w:rsidP="00FC2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960D9">
              <w:rPr>
                <w:rFonts w:asciiTheme="majorHAnsi" w:hAnsiTheme="majorHAnsi"/>
                <w:sz w:val="20"/>
                <w:szCs w:val="20"/>
                <w:lang w:val="en-GB"/>
              </w:rPr>
              <w:t>Ventilated adult ICU patients with tube feeding expected</w:t>
            </w: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to stay for at least 3 days</w:t>
            </w:r>
          </w:p>
        </w:tc>
        <w:tc>
          <w:tcPr>
            <w:tcW w:w="2263" w:type="dxa"/>
          </w:tcPr>
          <w:p w14:paraId="67CAE46E" w14:textId="410DD2A3" w:rsidR="00BA09BA" w:rsidRPr="000332B8" w:rsidRDefault="00BA09BA" w:rsidP="00FC2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B5C7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BOMB calorimetry of feces (24-h fecal coll.), Increase in plasma AA</w:t>
            </w:r>
            <w:r w:rsidRPr="005B5C7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, </w:t>
            </w:r>
            <w:r w:rsidRPr="005B5C7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D lactate, Fecal fat/fatty acids, 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stool</w:t>
            </w:r>
            <w:r w:rsidRPr="005B5C7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details (Bristol scale, volume, pH). 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A</w:t>
            </w:r>
            <w:r w:rsidRPr="005B5C7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bsorption (3-OMG)</w:t>
            </w:r>
            <w:r w:rsidRPr="005B5C77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5B5C7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Citrulline</w:t>
            </w:r>
            <w:proofErr w:type="spellEnd"/>
            <w:r w:rsidRPr="005B5C7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, I-FABP. </w:t>
            </w:r>
            <w:r w:rsidRPr="005B5C77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 xml:space="preserve">Lactulose/ </w:t>
            </w:r>
            <w:proofErr w:type="spellStart"/>
            <w:r w:rsidRPr="005B5C77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>rhamnose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B5C77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 xml:space="preserve">or </w:t>
            </w:r>
            <w:proofErr w:type="spellStart"/>
            <w:r w:rsidRPr="005B5C77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>cellobiose</w:t>
            </w:r>
            <w:proofErr w:type="spellEnd"/>
            <w:r w:rsidRPr="005B5C77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>/</w:t>
            </w:r>
            <w:proofErr w:type="spellStart"/>
            <w:r w:rsidRPr="005B5C77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>rhamnose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 xml:space="preserve"> gut permeability test</w:t>
            </w:r>
          </w:p>
        </w:tc>
        <w:tc>
          <w:tcPr>
            <w:tcW w:w="2918" w:type="dxa"/>
          </w:tcPr>
          <w:p w14:paraId="4A569F4A" w14:textId="77777777" w:rsidR="00BA09BA" w:rsidRPr="005B5C77" w:rsidRDefault="00BA09BA" w:rsidP="00BA0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>COS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223C47">
              <w:rPr>
                <w:rFonts w:asciiTheme="majorHAnsi" w:hAnsiTheme="majorHAnsi"/>
                <w:sz w:val="20"/>
                <w:szCs w:val="20"/>
                <w:vertAlign w:val="superscript"/>
                <w:lang w:val="en-GB"/>
              </w:rPr>
              <w:t>#</w:t>
            </w:r>
          </w:p>
          <w:p w14:paraId="6DAA417A" w14:textId="7829BF2F" w:rsidR="00BA09BA" w:rsidRPr="003706BD" w:rsidRDefault="00BA09BA" w:rsidP="00A96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US"/>
              </w:rPr>
              <w:t>Association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s</w:t>
            </w:r>
            <w:r w:rsidRPr="005B5C7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between biomarkers 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and</w:t>
            </w:r>
            <w:r w:rsidRPr="005B5C7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clinical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ly</w:t>
            </w:r>
            <w:r w:rsidRPr="005B5C7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relevant outcomes, or scores (e.g. SOFA)</w:t>
            </w:r>
          </w:p>
        </w:tc>
        <w:tc>
          <w:tcPr>
            <w:tcW w:w="2701" w:type="dxa"/>
          </w:tcPr>
          <w:p w14:paraId="74985E17" w14:textId="77777777" w:rsidR="00BA09BA" w:rsidRPr="006343E3" w:rsidRDefault="00BA09BA" w:rsidP="00BA0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5B5C7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Gold standards for absorption of specific nutrients?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S</w:t>
            </w:r>
            <w:r w:rsidRPr="006343E3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tool specific analyses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for malabsorption of different macronutrients to be considered/specified.</w:t>
            </w:r>
          </w:p>
          <w:p w14:paraId="379EC647" w14:textId="145E877A" w:rsidR="00BA09BA" w:rsidRPr="005C2C8F" w:rsidRDefault="00BA09BA" w:rsidP="005C2C8F">
            <w:pPr>
              <w:keepNext/>
              <w:keepLines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Potentially a</w:t>
            </w:r>
            <w:r w:rsidRPr="006343E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dditional biomarkers based on </w:t>
            </w:r>
            <w:proofErr w:type="spellStart"/>
            <w:r w:rsidRPr="006343E3">
              <w:rPr>
                <w:rFonts w:asciiTheme="majorHAnsi" w:hAnsiTheme="majorHAnsi"/>
                <w:sz w:val="20"/>
                <w:szCs w:val="20"/>
                <w:lang w:val="en-GB"/>
              </w:rPr>
              <w:t>iSOFA</w:t>
            </w:r>
            <w:proofErr w:type="spellEnd"/>
            <w:r w:rsidRPr="006343E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results</w:t>
            </w:r>
          </w:p>
        </w:tc>
      </w:tr>
      <w:tr w:rsidR="00BA09BA" w:rsidRPr="00774B82" w14:paraId="09286795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14B6161" w14:textId="77ED7504" w:rsidR="00BA09BA" w:rsidRDefault="00BA09BA" w:rsidP="00E10187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>2</w:t>
            </w:r>
            <w:r w:rsidR="00E10187"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>:</w:t>
            </w:r>
            <w:r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 xml:space="preserve"> </w:t>
            </w:r>
            <w:r w:rsidRPr="005803DF"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 xml:space="preserve">Gut </w:t>
            </w:r>
            <w:proofErr w:type="spellStart"/>
            <w:r w:rsidRPr="005803DF"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>barrier</w:t>
            </w:r>
            <w:proofErr w:type="spellEnd"/>
            <w:r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>and</w:t>
            </w:r>
            <w:proofErr w:type="spellEnd"/>
            <w:r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 xml:space="preserve"> EN</w:t>
            </w:r>
          </w:p>
        </w:tc>
        <w:tc>
          <w:tcPr>
            <w:tcW w:w="2463" w:type="dxa"/>
          </w:tcPr>
          <w:p w14:paraId="43E383E8" w14:textId="035E367D" w:rsidR="00BA09BA" w:rsidRPr="006343E3" w:rsidRDefault="00BA09BA" w:rsidP="00081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To study whether early EN is able to preserve intestinal wall integrity</w:t>
            </w:r>
          </w:p>
        </w:tc>
        <w:tc>
          <w:tcPr>
            <w:tcW w:w="1741" w:type="dxa"/>
          </w:tcPr>
          <w:p w14:paraId="505D1162" w14:textId="77777777" w:rsidR="00BA09BA" w:rsidRPr="005803DF" w:rsidRDefault="00BA09BA" w:rsidP="00BA0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RCT</w:t>
            </w:r>
          </w:p>
          <w:p w14:paraId="0A482192" w14:textId="1D70AA61" w:rsidR="00BA09BA" w:rsidRPr="006343E3" w:rsidRDefault="00BA09BA" w:rsidP="00D40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Early EN vs early PN (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isocaloric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 and in both groups </w:t>
            </w: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slow progression to target)</w:t>
            </w:r>
          </w:p>
        </w:tc>
        <w:tc>
          <w:tcPr>
            <w:tcW w:w="1977" w:type="dxa"/>
            <w:gridSpan w:val="2"/>
          </w:tcPr>
          <w:p w14:paraId="0C3C8528" w14:textId="0645138C" w:rsidR="00BA09BA" w:rsidRPr="005960D9" w:rsidRDefault="00BA09BA" w:rsidP="00FC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Ventilated ICU patients on vasopressor support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, after stabilisation of shock</w:t>
            </w:r>
          </w:p>
        </w:tc>
        <w:tc>
          <w:tcPr>
            <w:tcW w:w="2263" w:type="dxa"/>
          </w:tcPr>
          <w:p w14:paraId="230BA034" w14:textId="77777777" w:rsidR="00BA09BA" w:rsidRPr="003706BD" w:rsidRDefault="00BA09BA" w:rsidP="00BA0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Early EN vs early PN</w:t>
            </w:r>
          </w:p>
          <w:p w14:paraId="08CCFBF8" w14:textId="100DA32A" w:rsidR="00BA09BA" w:rsidRPr="005B5C77" w:rsidRDefault="00BA09BA" w:rsidP="00FC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Measurement of </w:t>
            </w:r>
            <w:r w:rsidRPr="005803DF">
              <w:rPr>
                <w:rFonts w:asciiTheme="majorHAnsi" w:hAnsiTheme="majorHAnsi" w:cstheme="minorHAnsi"/>
                <w:sz w:val="20"/>
                <w:szCs w:val="20"/>
                <w:lang w:val="it-IT"/>
              </w:rPr>
              <w:t>I-FABP; I-BABP; zonulin-1, citrullin</w:t>
            </w:r>
            <w:r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803DF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>lactulose/</w:t>
            </w:r>
            <w:r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803DF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>rhamnose</w:t>
            </w:r>
            <w:proofErr w:type="spellEnd"/>
            <w:r w:rsidRPr="005803DF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 xml:space="preserve"> or </w:t>
            </w:r>
            <w:proofErr w:type="spellStart"/>
            <w:r w:rsidRPr="005803DF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>cellobiose</w:t>
            </w:r>
            <w:proofErr w:type="spellEnd"/>
            <w:r w:rsidRPr="005803DF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>/</w:t>
            </w:r>
            <w:r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803DF"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>rhamnose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  <w:shd w:val="clear" w:color="auto" w:fill="FFFFFF"/>
                <w:lang w:val="en-US"/>
              </w:rPr>
              <w:t xml:space="preserve">), </w:t>
            </w:r>
            <w:r w:rsidRPr="00393B88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duodenal biopsies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 if feasible.</w:t>
            </w: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Indirect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c</w:t>
            </w:r>
            <w:r w:rsidRPr="005803DF">
              <w:rPr>
                <w:rFonts w:asciiTheme="majorHAnsi" w:hAnsiTheme="majorHAnsi" w:cstheme="minorHAnsi"/>
                <w:sz w:val="20"/>
                <w:szCs w:val="20"/>
              </w:rPr>
              <w:t>alorimetry</w:t>
            </w:r>
            <w:proofErr w:type="spellEnd"/>
          </w:p>
        </w:tc>
        <w:tc>
          <w:tcPr>
            <w:tcW w:w="2918" w:type="dxa"/>
          </w:tcPr>
          <w:p w14:paraId="7639458A" w14:textId="77777777" w:rsidR="00BA09BA" w:rsidRPr="00BE2882" w:rsidRDefault="00BA09BA" w:rsidP="00BA0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BE288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Inflammatory and 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gut permeability</w:t>
            </w:r>
            <w:r w:rsidRPr="00BE288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markers, </w:t>
            </w:r>
            <w:r w:rsidRPr="00BE2882">
              <w:rPr>
                <w:rFonts w:asciiTheme="majorHAnsi" w:hAnsiTheme="majorHAnsi"/>
                <w:sz w:val="20"/>
                <w:szCs w:val="20"/>
                <w:lang w:val="en-GB"/>
              </w:rPr>
              <w:t>Endotoxin, bacterial DNA, peptidoglycans in blood</w:t>
            </w:r>
            <w:r w:rsidRPr="00BE288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. Monocyte activation. </w:t>
            </w:r>
            <w:r w:rsidRPr="00BE2882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CD-4 T cell reactivity.</w:t>
            </w: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 Infections. NOMI. 90d outcome.</w:t>
            </w:r>
          </w:p>
          <w:p w14:paraId="3AEB018E" w14:textId="0E2DC3AF" w:rsidR="00BA09BA" w:rsidRPr="005B5C77" w:rsidRDefault="00BA09BA" w:rsidP="00BA0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BE288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Hypermetabolic response (IC)</w:t>
            </w:r>
          </w:p>
        </w:tc>
        <w:tc>
          <w:tcPr>
            <w:tcW w:w="2701" w:type="dxa"/>
          </w:tcPr>
          <w:p w14:paraId="64A781B8" w14:textId="0CB8D07E" w:rsidR="00BA09BA" w:rsidRPr="005B5C77" w:rsidRDefault="00BA09BA" w:rsidP="00BA0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Timing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measurements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to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defined</w:t>
            </w:r>
            <w:proofErr w:type="spellEnd"/>
          </w:p>
        </w:tc>
      </w:tr>
      <w:tr w:rsidR="002243FF" w:rsidRPr="00774B82" w14:paraId="6B5B0432" w14:textId="77777777" w:rsidTr="00954BFD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487C231" w14:textId="19B34E8D" w:rsidR="002243FF" w:rsidRDefault="002243FF" w:rsidP="00E10187">
            <w:pPr>
              <w:rPr>
                <w:rFonts w:asciiTheme="majorHAnsi" w:hAnsiTheme="majorHAnsi" w:cstheme="min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  <w:t>3</w:t>
            </w:r>
            <w:r w:rsidR="00E10187"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  <w:t xml:space="preserve"> </w:t>
            </w:r>
            <w:r w:rsidRPr="006343E3"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  <w:t xml:space="preserve">Biomarkers of intestinal ischemia </w:t>
            </w:r>
            <w:r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  <w:t xml:space="preserve">and barrier function </w:t>
            </w:r>
            <w:r w:rsidRPr="006343E3"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  <w:t>in ICU</w:t>
            </w:r>
          </w:p>
        </w:tc>
        <w:tc>
          <w:tcPr>
            <w:tcW w:w="2463" w:type="dxa"/>
          </w:tcPr>
          <w:p w14:paraId="281F3511" w14:textId="77777777" w:rsidR="002243FF" w:rsidRPr="00BC6A85" w:rsidRDefault="002243FF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566C13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Validate biomarkers in predicting mesenteric ischemia in ICU patients</w:t>
            </w:r>
            <w:r w:rsidRPr="00BC6A85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37318AE6" w14:textId="5043916F" w:rsidR="002243FF" w:rsidRDefault="002243FF" w:rsidP="00081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566C13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 xml:space="preserve">Barrier function: characterize epithelial first and second line </w:t>
            </w:r>
            <w:proofErr w:type="spellStart"/>
            <w:r w:rsidRPr="00566C13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defense</w:t>
            </w:r>
            <w:proofErr w:type="spellEnd"/>
            <w:r w:rsidRPr="00566C13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 xml:space="preserve"> in critically ill patients with intestinal ischemia</w:t>
            </w:r>
          </w:p>
        </w:tc>
        <w:tc>
          <w:tcPr>
            <w:tcW w:w="1741" w:type="dxa"/>
          </w:tcPr>
          <w:p w14:paraId="4B2F3B5F" w14:textId="77777777" w:rsidR="002243FF" w:rsidRPr="00202EBF" w:rsidRDefault="002243FF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</w:pPr>
            <w:r w:rsidRPr="00BC6A85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Observational large scale cohort study.</w:t>
            </w:r>
          </w:p>
          <w:p w14:paraId="6E058280" w14:textId="77777777" w:rsidR="002243FF" w:rsidRPr="0023650E" w:rsidRDefault="002243FF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</w:pPr>
            <w:r w:rsidRPr="00566C13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Subgroups: 1) abdominal surgery</w:t>
            </w:r>
          </w:p>
          <w:p w14:paraId="02AA5CC5" w14:textId="646C6448" w:rsidR="002243FF" w:rsidRPr="003706BD" w:rsidRDefault="002243FF" w:rsidP="00BA0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566C13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 xml:space="preserve">2) medical ICU </w:t>
            </w:r>
            <w:proofErr w:type="spellStart"/>
            <w:r w:rsidRPr="00566C13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pt</w:t>
            </w:r>
            <w:proofErr w:type="spellEnd"/>
            <w:r w:rsidRPr="00566C13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 xml:space="preserve"> (with shock)</w:t>
            </w:r>
          </w:p>
        </w:tc>
        <w:tc>
          <w:tcPr>
            <w:tcW w:w="1977" w:type="dxa"/>
            <w:gridSpan w:val="2"/>
          </w:tcPr>
          <w:p w14:paraId="5CB5A26B" w14:textId="2D4FFAB2" w:rsidR="002243FF" w:rsidRPr="003706BD" w:rsidRDefault="002243FF" w:rsidP="00FC2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566C13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 xml:space="preserve">Consecutive adult MV ICU </w:t>
            </w:r>
            <w:proofErr w:type="spellStart"/>
            <w:r w:rsidRPr="00566C13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>pt</w:t>
            </w:r>
            <w:proofErr w:type="spellEnd"/>
            <w:r w:rsidRPr="00566C13"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  <w:t xml:space="preserve"> with increased risk of intestinal ischemia</w:t>
            </w:r>
          </w:p>
        </w:tc>
        <w:tc>
          <w:tcPr>
            <w:tcW w:w="2263" w:type="dxa"/>
          </w:tcPr>
          <w:p w14:paraId="3F24CD32" w14:textId="537D664E" w:rsidR="00E10187" w:rsidRPr="00E10187" w:rsidRDefault="002243FF" w:rsidP="00BA0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I-FABP, </w:t>
            </w:r>
            <w:r w:rsidRPr="00566C13">
              <w:rPr>
                <w:rFonts w:asciiTheme="majorHAnsi" w:hAnsiTheme="majorHAnsi" w:cs="Times New Roman"/>
                <w:sz w:val="20"/>
                <w:szCs w:val="20"/>
              </w:rPr>
              <w:t>α</w:t>
            </w:r>
            <w:r w:rsidRPr="00566C13">
              <w:rPr>
                <w:rFonts w:asciiTheme="majorHAnsi" w:hAnsiTheme="majorHAnsi" w:cs="Times New Roman"/>
                <w:sz w:val="20"/>
                <w:szCs w:val="20"/>
                <w:lang w:val="it-IT"/>
              </w:rPr>
              <w:t>-GST, SMA</w:t>
            </w:r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, </w:t>
            </w:r>
            <w:r w:rsidRPr="00566C13">
              <w:rPr>
                <w:rFonts w:asciiTheme="majorHAnsi" w:hAnsiTheme="majorHAnsi" w:cs="Times New Roman"/>
                <w:sz w:val="20"/>
                <w:szCs w:val="20"/>
                <w:lang w:val="it-IT"/>
              </w:rPr>
              <w:t xml:space="preserve">citrulline, D-lactate, </w:t>
            </w:r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sCD14, </w:t>
            </w:r>
            <w:proofErr w:type="spellStart"/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>Claudin</w:t>
            </w:r>
            <w:proofErr w:type="spellEnd"/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3, RT PCR </w:t>
            </w:r>
            <w:proofErr w:type="spellStart"/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>Bacteroides</w:t>
            </w:r>
            <w:proofErr w:type="spellEnd"/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>Entero</w:t>
            </w:r>
            <w:proofErr w:type="spellEnd"/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-coccus sp. Stool analysis (mucins, AMPs, IgA, eosinophil cationic protein, calprotectin). </w:t>
            </w:r>
            <w:r w:rsidRPr="00566C13">
              <w:rPr>
                <w:rFonts w:asciiTheme="majorHAnsi" w:hAnsiTheme="majorHAnsi"/>
                <w:sz w:val="20"/>
                <w:szCs w:val="20"/>
              </w:rPr>
              <w:t xml:space="preserve">Analysis </w:t>
            </w:r>
            <w:proofErr w:type="spellStart"/>
            <w:r w:rsidRPr="00566C13"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 w:rsidRPr="00566C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6C13">
              <w:rPr>
                <w:rFonts w:asciiTheme="majorHAnsi" w:hAnsiTheme="majorHAnsi"/>
                <w:sz w:val="20"/>
                <w:szCs w:val="20"/>
              </w:rPr>
              <w:t>intest</w:t>
            </w:r>
            <w:proofErr w:type="spellEnd"/>
            <w:r w:rsidRPr="00566C13">
              <w:rPr>
                <w:rFonts w:asciiTheme="majorHAnsi" w:hAnsiTheme="majorHAnsi"/>
                <w:sz w:val="20"/>
                <w:szCs w:val="20"/>
              </w:rPr>
              <w:t>. fluid (</w:t>
            </w:r>
            <w:proofErr w:type="spellStart"/>
            <w:r w:rsidRPr="00566C13">
              <w:rPr>
                <w:rFonts w:asciiTheme="majorHAnsi" w:hAnsiTheme="majorHAnsi"/>
                <w:sz w:val="20"/>
                <w:szCs w:val="20"/>
              </w:rPr>
              <w:t>endosc</w:t>
            </w:r>
            <w:proofErr w:type="spellEnd"/>
            <w:r w:rsidRPr="00566C13">
              <w:rPr>
                <w:rFonts w:asciiTheme="majorHAnsi" w:hAnsiTheme="majorHAnsi"/>
                <w:sz w:val="20"/>
                <w:szCs w:val="20"/>
              </w:rPr>
              <w:t>).</w:t>
            </w:r>
          </w:p>
        </w:tc>
        <w:tc>
          <w:tcPr>
            <w:tcW w:w="2918" w:type="dxa"/>
          </w:tcPr>
          <w:p w14:paraId="01E0DE58" w14:textId="06D24885" w:rsidR="002243FF" w:rsidRPr="002243FF" w:rsidRDefault="002243FF" w:rsidP="002243FF">
            <w:pPr>
              <w:keepNext/>
              <w:keepLines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Predictive value of </w:t>
            </w:r>
            <w:proofErr w:type="gramStart"/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>biomarkers  to</w:t>
            </w:r>
            <w:proofErr w:type="gramEnd"/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diagnose mesenteric ischemia – confirmed by endoscopy or surgery. Link with short and long term intestinal, vital and functional outcome (including </w:t>
            </w:r>
            <w:r w:rsidRPr="00566C13">
              <w:rPr>
                <w:rFonts w:asciiTheme="majorHAnsi" w:hAnsiTheme="majorHAnsi"/>
                <w:sz w:val="20"/>
                <w:szCs w:val="20"/>
              </w:rPr>
              <w:t xml:space="preserve">Sepsis, LOS ICU </w:t>
            </w:r>
            <w:proofErr w:type="spellStart"/>
            <w:r w:rsidRPr="00566C13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566C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6C13">
              <w:rPr>
                <w:rFonts w:asciiTheme="majorHAnsi" w:hAnsiTheme="majorHAnsi"/>
                <w:sz w:val="20"/>
                <w:szCs w:val="20"/>
              </w:rPr>
              <w:t>hospital</w:t>
            </w:r>
            <w:proofErr w:type="spellEnd"/>
            <w:r w:rsidRPr="00566C13">
              <w:rPr>
                <w:rFonts w:asciiTheme="majorHAnsi" w:hAnsiTheme="majorHAnsi"/>
                <w:sz w:val="20"/>
                <w:szCs w:val="20"/>
              </w:rPr>
              <w:t xml:space="preserve">, 28 &amp; 90 </w:t>
            </w:r>
            <w:proofErr w:type="spellStart"/>
            <w:r w:rsidRPr="00566C13">
              <w:rPr>
                <w:rFonts w:asciiTheme="majorHAnsi" w:hAnsiTheme="majorHAnsi"/>
                <w:sz w:val="20"/>
                <w:szCs w:val="20"/>
              </w:rPr>
              <w:t>days</w:t>
            </w:r>
            <w:proofErr w:type="spellEnd"/>
            <w:r w:rsidRPr="00566C1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566C13">
              <w:rPr>
                <w:rFonts w:asciiTheme="majorHAnsi" w:hAnsiTheme="majorHAnsi"/>
                <w:sz w:val="20"/>
                <w:szCs w:val="20"/>
              </w:rPr>
              <w:t>mortality</w:t>
            </w:r>
            <w:proofErr w:type="spellEnd"/>
            <w:r w:rsidRPr="00566C13">
              <w:rPr>
                <w:rFonts w:asciiTheme="majorHAnsi" w:hAnsiTheme="majorHAnsi"/>
                <w:sz w:val="20"/>
                <w:szCs w:val="20"/>
              </w:rPr>
              <w:t>)</w:t>
            </w:r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. Association between clinical symptoms and biomarkers. </w:t>
            </w:r>
          </w:p>
        </w:tc>
        <w:tc>
          <w:tcPr>
            <w:tcW w:w="2701" w:type="dxa"/>
          </w:tcPr>
          <w:p w14:paraId="046492F6" w14:textId="77777777" w:rsidR="002243FF" w:rsidRPr="00202EBF" w:rsidRDefault="002243FF" w:rsidP="00CB29BD">
            <w:pPr>
              <w:keepNext/>
              <w:keepLines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Systematic review needed to define study group (risk </w:t>
            </w:r>
            <w:proofErr w:type="spellStart"/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>pt</w:t>
            </w:r>
            <w:proofErr w:type="spellEnd"/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>).</w:t>
            </w:r>
          </w:p>
          <w:p w14:paraId="2166881D" w14:textId="77777777" w:rsidR="002243FF" w:rsidRPr="0023650E" w:rsidRDefault="002243FF" w:rsidP="00CB29BD">
            <w:pPr>
              <w:keepNext/>
              <w:keepLines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>All patients with suspected ischemia (e.g. GI bleeding) need endoscopy if no surgery.</w:t>
            </w:r>
          </w:p>
          <w:p w14:paraId="75808278" w14:textId="77777777" w:rsidR="002243FF" w:rsidRPr="0023650E" w:rsidRDefault="002243FF" w:rsidP="00CB29BD">
            <w:pPr>
              <w:keepNext/>
              <w:keepLines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>Endoscopy or surgery needed for final diagnosis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of mesenteric ischemia</w:t>
            </w:r>
            <w:r w:rsidRPr="00566C13">
              <w:rPr>
                <w:rFonts w:asciiTheme="majorHAnsi" w:hAnsiTheme="majorHAnsi"/>
                <w:sz w:val="20"/>
                <w:szCs w:val="20"/>
                <w:lang w:val="en-GB"/>
              </w:rPr>
              <w:t>.</w:t>
            </w:r>
          </w:p>
          <w:p w14:paraId="2ABE8E04" w14:textId="77777777" w:rsidR="002243FF" w:rsidRDefault="002243FF" w:rsidP="00BA0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43FF" w:rsidRPr="00774B82" w14:paraId="06A36985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AB6C3AD" w14:textId="79A7E7B9" w:rsidR="002243FF" w:rsidRDefault="00E10187" w:rsidP="00BA09BA">
            <w:pPr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4: </w:t>
            </w:r>
            <w:proofErr w:type="spellStart"/>
            <w:r w:rsidR="002243FF" w:rsidRPr="002D7332">
              <w:rPr>
                <w:rFonts w:asciiTheme="majorHAnsi" w:hAnsiTheme="majorHAnsi"/>
                <w:color w:val="0000FF"/>
                <w:sz w:val="20"/>
                <w:szCs w:val="20"/>
              </w:rPr>
              <w:t>Diarrhea</w:t>
            </w:r>
            <w:proofErr w:type="spellEnd"/>
            <w:r w:rsidR="002243FF" w:rsidRPr="002D7332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2243FF" w:rsidRPr="002D7332">
              <w:rPr>
                <w:rFonts w:asciiTheme="majorHAnsi" w:hAnsiTheme="majorHAnsi"/>
                <w:color w:val="0000FF"/>
                <w:sz w:val="20"/>
                <w:szCs w:val="20"/>
              </w:rPr>
              <w:t>prevention</w:t>
            </w:r>
            <w:proofErr w:type="spellEnd"/>
          </w:p>
        </w:tc>
        <w:tc>
          <w:tcPr>
            <w:tcW w:w="2463" w:type="dxa"/>
          </w:tcPr>
          <w:p w14:paraId="3771C4AA" w14:textId="77777777" w:rsidR="002243FF" w:rsidRDefault="002243FF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Does routine use of 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fiber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feeds reduce 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diarrhea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?</w:t>
            </w:r>
          </w:p>
          <w:p w14:paraId="507DB92F" w14:textId="77777777" w:rsidR="002243FF" w:rsidRPr="00566C13" w:rsidRDefault="002243FF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41" w:type="dxa"/>
          </w:tcPr>
          <w:p w14:paraId="02362B4D" w14:textId="22928ABF" w:rsidR="002243FF" w:rsidRPr="00BC6A85" w:rsidRDefault="002243FF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2D7332">
              <w:rPr>
                <w:rFonts w:asciiTheme="majorHAnsi" w:hAnsiTheme="majorHAnsi"/>
                <w:sz w:val="20"/>
                <w:szCs w:val="20"/>
              </w:rPr>
              <w:t>RCT</w:t>
            </w:r>
          </w:p>
        </w:tc>
        <w:tc>
          <w:tcPr>
            <w:tcW w:w="1977" w:type="dxa"/>
            <w:gridSpan w:val="2"/>
          </w:tcPr>
          <w:p w14:paraId="7327D9AC" w14:textId="6AE184D2" w:rsidR="002243FF" w:rsidRPr="00566C13" w:rsidRDefault="002243FF" w:rsidP="00FC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Critically ill patients in need of EN</w:t>
            </w:r>
          </w:p>
        </w:tc>
        <w:tc>
          <w:tcPr>
            <w:tcW w:w="2263" w:type="dxa"/>
          </w:tcPr>
          <w:p w14:paraId="5AD69E3C" w14:textId="68B15869" w:rsidR="002243FF" w:rsidRPr="00566C13" w:rsidRDefault="002243FF" w:rsidP="00BA0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Fiber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feeds versus non-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fiber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feeds</w:t>
            </w:r>
          </w:p>
        </w:tc>
        <w:tc>
          <w:tcPr>
            <w:tcW w:w="2918" w:type="dxa"/>
          </w:tcPr>
          <w:p w14:paraId="7699922D" w14:textId="77777777" w:rsidR="002243FF" w:rsidRPr="003706BD" w:rsidRDefault="002243FF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Bristol 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t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ool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chart</w:t>
            </w:r>
          </w:p>
          <w:p w14:paraId="76815336" w14:textId="7C89C6F9" w:rsidR="002243FF" w:rsidRPr="00566C13" w:rsidRDefault="002243FF" w:rsidP="00CB29BD">
            <w:pPr>
              <w:keepNext/>
              <w:keepLines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GI symptoms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2701" w:type="dxa"/>
          </w:tcPr>
          <w:p w14:paraId="4CA33DC2" w14:textId="77777777" w:rsidR="002243FF" w:rsidRDefault="002243FF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Standard protocol for 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diarrhea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management is advisable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.</w:t>
            </w:r>
          </w:p>
          <w:p w14:paraId="5A6242A4" w14:textId="0E1DED41" w:rsidR="00E10187" w:rsidRPr="00566C13" w:rsidRDefault="002243FF" w:rsidP="00CB29BD">
            <w:pPr>
              <w:keepNext/>
              <w:keepLines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Study EN solution to be discussed (mixed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GB"/>
              </w:rPr>
              <w:t>fibers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vs. only soluble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GB"/>
              </w:rPr>
              <w:t>fibers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GB"/>
              </w:rPr>
              <w:t>)</w:t>
            </w:r>
          </w:p>
        </w:tc>
      </w:tr>
      <w:tr w:rsidR="009C77ED" w:rsidRPr="009C77ED" w14:paraId="6B943AE8" w14:textId="77777777" w:rsidTr="00954BFD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99CCFF"/>
          </w:tcPr>
          <w:p w14:paraId="2677B209" w14:textId="25EA9A54" w:rsidR="009C77ED" w:rsidRPr="009C77ED" w:rsidRDefault="009C77ED" w:rsidP="00BA09BA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lastRenderedPageBreak/>
              <w:t>A</w:t>
            </w:r>
            <w:r w:rsidRPr="009C77ED">
              <w:rPr>
                <w:rFonts w:asciiTheme="majorHAnsi" w:hAnsiTheme="majorHAnsi"/>
              </w:rPr>
              <w:t>cronym</w:t>
            </w:r>
            <w:proofErr w:type="spellEnd"/>
          </w:p>
        </w:tc>
        <w:tc>
          <w:tcPr>
            <w:tcW w:w="246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99CCFF"/>
          </w:tcPr>
          <w:p w14:paraId="58F5CB20" w14:textId="698D0173" w:rsidR="009C77ED" w:rsidRP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</w:rPr>
              <w:t>Q</w:t>
            </w:r>
            <w:r w:rsidRPr="009C77ED">
              <w:rPr>
                <w:rFonts w:asciiTheme="majorHAnsi" w:hAnsiTheme="majorHAnsi"/>
                <w:b/>
              </w:rPr>
              <w:t>uestions</w:t>
            </w:r>
            <w:proofErr w:type="spellEnd"/>
            <w:r w:rsidRPr="009C77ED">
              <w:rPr>
                <w:rFonts w:asciiTheme="majorHAnsi" w:hAnsiTheme="majorHAnsi"/>
                <w:b/>
              </w:rPr>
              <w:t>/</w:t>
            </w:r>
            <w:proofErr w:type="spellStart"/>
            <w:r w:rsidRPr="009C77ED">
              <w:rPr>
                <w:rFonts w:asciiTheme="majorHAnsi" w:hAnsiTheme="majorHAnsi"/>
                <w:b/>
              </w:rPr>
              <w:t>aims</w:t>
            </w:r>
            <w:proofErr w:type="spellEnd"/>
          </w:p>
        </w:tc>
        <w:tc>
          <w:tcPr>
            <w:tcW w:w="174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99CCFF"/>
          </w:tcPr>
          <w:p w14:paraId="687E6BE1" w14:textId="70A58985" w:rsidR="009C77ED" w:rsidRP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9C77ED">
              <w:rPr>
                <w:rFonts w:asciiTheme="majorHAnsi" w:hAnsiTheme="majorHAnsi"/>
                <w:b/>
              </w:rPr>
              <w:t>Study design</w:t>
            </w:r>
          </w:p>
        </w:tc>
        <w:tc>
          <w:tcPr>
            <w:tcW w:w="1977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99CCFF"/>
          </w:tcPr>
          <w:p w14:paraId="54FD8E19" w14:textId="36CE1AFB" w:rsidR="009C77ED" w:rsidRPr="009C77ED" w:rsidRDefault="009C77ED" w:rsidP="00FC2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spellStart"/>
            <w:r w:rsidRPr="009C77ED">
              <w:rPr>
                <w:rFonts w:asciiTheme="majorHAnsi" w:hAnsiTheme="majorHAnsi"/>
                <w:b/>
              </w:rPr>
              <w:t>Subjects</w:t>
            </w:r>
            <w:proofErr w:type="spellEnd"/>
          </w:p>
        </w:tc>
        <w:tc>
          <w:tcPr>
            <w:tcW w:w="226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99CCFF"/>
          </w:tcPr>
          <w:p w14:paraId="1E413C7C" w14:textId="0F6ACFDE" w:rsidR="009C77ED" w:rsidRPr="009C77ED" w:rsidRDefault="009C77ED" w:rsidP="00BA0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C77ED">
              <w:rPr>
                <w:rFonts w:asciiTheme="majorHAnsi" w:hAnsiTheme="majorHAnsi"/>
                <w:b/>
              </w:rPr>
              <w:t>Details/Intervention</w:t>
            </w:r>
          </w:p>
        </w:tc>
        <w:tc>
          <w:tcPr>
            <w:tcW w:w="291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99CCFF"/>
          </w:tcPr>
          <w:p w14:paraId="47BA2E00" w14:textId="32FF6AE9" w:rsidR="009C77ED" w:rsidRP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C77ED">
              <w:rPr>
                <w:rFonts w:asciiTheme="majorHAnsi" w:hAnsiTheme="majorHAnsi"/>
                <w:b/>
              </w:rPr>
              <w:t>Outcome variables</w:t>
            </w:r>
          </w:p>
        </w:tc>
        <w:tc>
          <w:tcPr>
            <w:tcW w:w="270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99CCFF"/>
          </w:tcPr>
          <w:p w14:paraId="4C837E61" w14:textId="0198E49E" w:rsidR="009C77ED" w:rsidRP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</w:rPr>
              <w:t>Comments</w:t>
            </w:r>
          </w:p>
        </w:tc>
      </w:tr>
      <w:tr w:rsidR="009C77ED" w:rsidRPr="00774B82" w14:paraId="65106211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D6D390F" w14:textId="143B7BCD" w:rsidR="009C77ED" w:rsidRDefault="009C77ED" w:rsidP="00BA09BA">
            <w:pPr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5: </w:t>
            </w:r>
            <w:proofErr w:type="spellStart"/>
            <w:r w:rsidRPr="002D7332">
              <w:rPr>
                <w:rFonts w:asciiTheme="majorHAnsi" w:hAnsiTheme="majorHAnsi"/>
                <w:color w:val="0000FF"/>
                <w:sz w:val="20"/>
                <w:szCs w:val="20"/>
              </w:rPr>
              <w:t>Diarrhea</w:t>
            </w:r>
            <w:proofErr w:type="spellEnd"/>
            <w:r w:rsidRPr="002D7332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2D7332">
              <w:rPr>
                <w:rFonts w:asciiTheme="majorHAnsi" w:hAnsiTheme="majorHAnsi"/>
                <w:color w:val="0000FF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2463" w:type="dxa"/>
          </w:tcPr>
          <w:p w14:paraId="3232B93C" w14:textId="364F245C" w:rsidR="009C77ED" w:rsidRPr="00566C13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Does reduction or discontinuation of EN reduce 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diarrhea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1741" w:type="dxa"/>
          </w:tcPr>
          <w:p w14:paraId="5EF902E5" w14:textId="1532AD73" w:rsidR="009C77ED" w:rsidRPr="00BC6A85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2D7332">
              <w:rPr>
                <w:rFonts w:asciiTheme="majorHAnsi" w:hAnsiTheme="majorHAnsi"/>
                <w:sz w:val="20"/>
                <w:szCs w:val="20"/>
              </w:rPr>
              <w:t xml:space="preserve">RCT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(3-armed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study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977" w:type="dxa"/>
            <w:gridSpan w:val="2"/>
          </w:tcPr>
          <w:p w14:paraId="11F0EBB4" w14:textId="5434C7F4" w:rsidR="009C77ED" w:rsidRPr="00566C13" w:rsidRDefault="009C77ED" w:rsidP="00FC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20"/>
                <w:szCs w:val="20"/>
                <w:lang w:val="en-GB"/>
              </w:rPr>
            </w:pPr>
            <w:r w:rsidRPr="005960D9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Patients with </w:t>
            </w: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>severe</w:t>
            </w:r>
            <w:r w:rsidRPr="005960D9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960D9">
              <w:rPr>
                <w:rFonts w:asciiTheme="majorHAnsi" w:hAnsiTheme="majorHAnsi"/>
                <w:sz w:val="20"/>
                <w:szCs w:val="20"/>
                <w:lang w:val="en-GB"/>
              </w:rPr>
              <w:t>diarrhea</w:t>
            </w:r>
            <w:proofErr w:type="spellEnd"/>
            <w:r w:rsidRPr="005960D9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during EN</w:t>
            </w:r>
          </w:p>
        </w:tc>
        <w:tc>
          <w:tcPr>
            <w:tcW w:w="2263" w:type="dxa"/>
          </w:tcPr>
          <w:p w14:paraId="07E7B7CE" w14:textId="77777777" w:rsidR="009C77ED" w:rsidRPr="005B5C77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1. Continuation of EN  </w:t>
            </w:r>
          </w:p>
          <w:p w14:paraId="5F831D58" w14:textId="77777777" w:rsidR="009C77ED" w:rsidRPr="005B5C77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2.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Reduction of </w:t>
            </w: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EN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by </w:t>
            </w: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50% </w:t>
            </w:r>
          </w:p>
          <w:p w14:paraId="628F0A11" w14:textId="4409AC0F" w:rsidR="009C77ED" w:rsidRPr="00566C13" w:rsidRDefault="009C77ED" w:rsidP="00BA0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>3. Trophic EN + supplemental PN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(after 3-7 days)</w:t>
            </w:r>
          </w:p>
        </w:tc>
        <w:tc>
          <w:tcPr>
            <w:tcW w:w="2918" w:type="dxa"/>
          </w:tcPr>
          <w:p w14:paraId="421A954A" w14:textId="77777777" w:rsidR="009C77ED" w:rsidRPr="005B5C77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>Bristol stool scale</w:t>
            </w:r>
          </w:p>
          <w:p w14:paraId="10DE098F" w14:textId="77777777" w:rsidR="009C77ED" w:rsidRPr="005B5C77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>GI symptoms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*</w:t>
            </w:r>
          </w:p>
          <w:p w14:paraId="312165FA" w14:textId="77777777" w:rsidR="009C77ED" w:rsidRPr="005B5C77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>LOS</w:t>
            </w:r>
          </w:p>
          <w:p w14:paraId="2482186D" w14:textId="6951F60B" w:rsidR="009C77ED" w:rsidRPr="00566C13" w:rsidRDefault="009C77ED" w:rsidP="00CB29BD">
            <w:pPr>
              <w:keepNext/>
              <w:keepLines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>infections</w:t>
            </w:r>
          </w:p>
        </w:tc>
        <w:tc>
          <w:tcPr>
            <w:tcW w:w="2701" w:type="dxa"/>
          </w:tcPr>
          <w:p w14:paraId="0858F61E" w14:textId="77777777" w:rsidR="009C77ED" w:rsidRPr="005960D9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>Severe diarrhoea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=</w:t>
            </w: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requiring interventions (fluid, electrolyte replacement)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.</w:t>
            </w:r>
          </w:p>
          <w:p w14:paraId="2DEFD6CE" w14:textId="57E68283" w:rsidR="009C77ED" w:rsidRPr="00566C13" w:rsidRDefault="009C77ED" w:rsidP="00CB29BD">
            <w:pPr>
              <w:keepNext/>
              <w:keepLines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Use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laxatives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needs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to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standardized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9C77ED" w:rsidRPr="00774B82" w14:paraId="6650FA14" w14:textId="77777777" w:rsidTr="00954BFD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CBB5791" w14:textId="0101E3EC" w:rsidR="009C77ED" w:rsidRDefault="009C77ED" w:rsidP="00BA09B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FF"/>
                <w:sz w:val="20"/>
                <w:szCs w:val="20"/>
                <w:lang w:val="en-GB"/>
              </w:rPr>
              <w:t xml:space="preserve">6: </w:t>
            </w:r>
            <w:r w:rsidRPr="003706BD">
              <w:rPr>
                <w:rFonts w:asciiTheme="majorHAnsi" w:hAnsiTheme="majorHAnsi" w:cs="Times New Roman"/>
                <w:color w:val="0000FF"/>
                <w:sz w:val="20"/>
                <w:szCs w:val="20"/>
                <w:lang w:val="en-GB"/>
              </w:rPr>
              <w:t xml:space="preserve">Prophylaxis vs </w:t>
            </w:r>
            <w:r>
              <w:rPr>
                <w:rFonts w:asciiTheme="majorHAnsi" w:hAnsiTheme="majorHAnsi" w:cs="Times New Roman"/>
                <w:color w:val="0000FF"/>
                <w:sz w:val="20"/>
                <w:szCs w:val="20"/>
                <w:lang w:val="en-GB"/>
              </w:rPr>
              <w:t>T</w:t>
            </w:r>
            <w:r w:rsidRPr="003706BD">
              <w:rPr>
                <w:rFonts w:asciiTheme="majorHAnsi" w:hAnsiTheme="majorHAnsi" w:cs="Times New Roman"/>
                <w:color w:val="0000FF"/>
                <w:sz w:val="20"/>
                <w:szCs w:val="20"/>
                <w:lang w:val="en-GB"/>
              </w:rPr>
              <w:t>reatment of upper GI intolerance</w:t>
            </w:r>
          </w:p>
        </w:tc>
        <w:tc>
          <w:tcPr>
            <w:tcW w:w="2463" w:type="dxa"/>
          </w:tcPr>
          <w:p w14:paraId="3A1B5282" w14:textId="6D2D55C6" w:rsidR="009C77ED" w:rsidRPr="003706B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Is the prophylactic use of </w:t>
            </w:r>
            <w:proofErr w:type="spellStart"/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prokinetics</w:t>
            </w:r>
            <w:proofErr w:type="spellEnd"/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superior to therapeutic use?</w:t>
            </w:r>
          </w:p>
        </w:tc>
        <w:tc>
          <w:tcPr>
            <w:tcW w:w="1741" w:type="dxa"/>
          </w:tcPr>
          <w:p w14:paraId="45391061" w14:textId="7F4073BA" w:rsidR="009C77ED" w:rsidRPr="002D7332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1A4A06">
              <w:rPr>
                <w:rFonts w:asciiTheme="majorHAnsi" w:hAnsiTheme="majorHAnsi" w:cs="Times New Roman"/>
                <w:sz w:val="20"/>
                <w:szCs w:val="20"/>
              </w:rPr>
              <w:t>Multicenter RCT</w:t>
            </w:r>
          </w:p>
        </w:tc>
        <w:tc>
          <w:tcPr>
            <w:tcW w:w="1977" w:type="dxa"/>
            <w:gridSpan w:val="2"/>
          </w:tcPr>
          <w:p w14:paraId="39363A32" w14:textId="66A4AEDD" w:rsidR="009C77ED" w:rsidRPr="005960D9" w:rsidRDefault="009C77ED" w:rsidP="00FC2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Adult ICU pt. at high risk of gastroparesis </w:t>
            </w:r>
          </w:p>
        </w:tc>
        <w:tc>
          <w:tcPr>
            <w:tcW w:w="2263" w:type="dxa"/>
          </w:tcPr>
          <w:p w14:paraId="70636BA6" w14:textId="56D53DB5" w:rsidR="009C77ED" w:rsidRPr="005B5C77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Two study arms, same drugs (erythromycin, metoclopramide, </w:t>
            </w:r>
            <w:proofErr w:type="spellStart"/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alizapride</w:t>
            </w:r>
            <w:proofErr w:type="spellEnd"/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, ..) and dosages, different timing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(routine administration or only in confirmed gastroparesis)</w:t>
            </w:r>
          </w:p>
        </w:tc>
        <w:tc>
          <w:tcPr>
            <w:tcW w:w="2918" w:type="dxa"/>
          </w:tcPr>
          <w:p w14:paraId="4DAD3866" w14:textId="77777777" w:rsidR="009C77ED" w:rsidRPr="001A4A06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COS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0F2965">
              <w:rPr>
                <w:rFonts w:asciiTheme="majorHAnsi" w:hAnsiTheme="majorHAnsi" w:cs="Times New Roman"/>
                <w:sz w:val="20"/>
                <w:szCs w:val="20"/>
                <w:vertAlign w:val="superscript"/>
                <w:lang w:val="en-GB"/>
              </w:rPr>
              <w:t>#</w:t>
            </w:r>
          </w:p>
          <w:p w14:paraId="09596D43" w14:textId="77777777" w:rsidR="009C77ED" w:rsidRPr="001A4A06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Pneumonia incidence</w:t>
            </w:r>
          </w:p>
          <w:p w14:paraId="46C14C67" w14:textId="77777777" w:rsidR="009C77ED" w:rsidRPr="003706B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Long-term outcomes</w:t>
            </w:r>
          </w:p>
          <w:p w14:paraId="009CD394" w14:textId="77777777" w:rsid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Adverse effects (prolonged QT, 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extrapyramidal side effects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, colonisation with multi-resistant microbes)</w:t>
            </w:r>
          </w:p>
          <w:p w14:paraId="3125B731" w14:textId="77777777" w:rsidR="009C77ED" w:rsidRPr="005B5C77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2701" w:type="dxa"/>
          </w:tcPr>
          <w:p w14:paraId="1B6D852C" w14:textId="77777777" w:rsidR="009C77ED" w:rsidRPr="003706B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atients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at risk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may include patients receiving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high doses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of opioids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patients having undergone 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GI surgery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, and patients with 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peritonit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i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s, sepsis, 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diabetes or 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recovering from shock</w:t>
            </w:r>
          </w:p>
          <w:p w14:paraId="0EF19E42" w14:textId="77777777" w:rsidR="009C77ED" w:rsidRPr="005B5C77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9C77ED" w:rsidRPr="00774B82" w14:paraId="442895C4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7919A92" w14:textId="2A936C40" w:rsidR="009C77ED" w:rsidRDefault="009C77ED" w:rsidP="00BA09BA">
            <w:pPr>
              <w:rPr>
                <w:rFonts w:asciiTheme="majorHAnsi" w:hAnsiTheme="majorHAnsi" w:cs="Times New Roman"/>
                <w:color w:val="0000FF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7: </w:t>
            </w:r>
            <w:r w:rsidRPr="00100BA1">
              <w:rPr>
                <w:rFonts w:asciiTheme="majorHAnsi" w:hAnsiTheme="majorHAnsi"/>
                <w:color w:val="0000FF"/>
                <w:sz w:val="20"/>
                <w:szCs w:val="20"/>
              </w:rPr>
              <w:t>US-</w:t>
            </w:r>
            <w:proofErr w:type="spellStart"/>
            <w:r w:rsidRPr="00100BA1">
              <w:rPr>
                <w:rFonts w:asciiTheme="majorHAnsi" w:hAnsiTheme="majorHAnsi"/>
                <w:color w:val="0000FF"/>
                <w:sz w:val="20"/>
                <w:szCs w:val="20"/>
              </w:rPr>
              <w:t>Gastric</w:t>
            </w:r>
            <w:proofErr w:type="spellEnd"/>
            <w:r w:rsidRPr="00100BA1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FF"/>
                <w:sz w:val="20"/>
                <w:szCs w:val="20"/>
              </w:rPr>
              <w:t>1</w:t>
            </w:r>
          </w:p>
        </w:tc>
        <w:tc>
          <w:tcPr>
            <w:tcW w:w="2463" w:type="dxa"/>
          </w:tcPr>
          <w:p w14:paraId="37E3AAC8" w14:textId="7D804B14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Is US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 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reliable technique for routine bedside assessment of gastric emptying in critically ill </w:t>
            </w:r>
          </w:p>
        </w:tc>
        <w:tc>
          <w:tcPr>
            <w:tcW w:w="1741" w:type="dxa"/>
          </w:tcPr>
          <w:p w14:paraId="341B8908" w14:textId="3DCD272A" w:rsidR="009C77ED" w:rsidRPr="001A4A06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 w:rsidRPr="000D1BC0">
              <w:rPr>
                <w:rFonts w:asciiTheme="majorHAnsi" w:hAnsiTheme="majorHAnsi"/>
                <w:sz w:val="20"/>
                <w:szCs w:val="20"/>
              </w:rPr>
              <w:t xml:space="preserve">Multicenter </w:t>
            </w:r>
            <w:proofErr w:type="spellStart"/>
            <w:r w:rsidRPr="000D1BC0">
              <w:rPr>
                <w:rFonts w:asciiTheme="majorHAnsi" w:hAnsiTheme="majorHAnsi"/>
                <w:sz w:val="20"/>
                <w:szCs w:val="20"/>
              </w:rPr>
              <w:t>observational</w:t>
            </w:r>
            <w:proofErr w:type="spellEnd"/>
          </w:p>
        </w:tc>
        <w:tc>
          <w:tcPr>
            <w:tcW w:w="1977" w:type="dxa"/>
            <w:gridSpan w:val="2"/>
          </w:tcPr>
          <w:p w14:paraId="1F64D199" w14:textId="02645B7D" w:rsidR="009C77ED" w:rsidRPr="003706BD" w:rsidRDefault="009C77ED" w:rsidP="00FC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Ventilated adult ICU patients with tube feeding</w:t>
            </w:r>
          </w:p>
        </w:tc>
        <w:tc>
          <w:tcPr>
            <w:tcW w:w="2263" w:type="dxa"/>
          </w:tcPr>
          <w:p w14:paraId="79C99E50" w14:textId="5F168D18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Repeated US assess-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ments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against 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labeled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carbon absorption and exhalation (and GRV)</w:t>
            </w:r>
          </w:p>
        </w:tc>
        <w:tc>
          <w:tcPr>
            <w:tcW w:w="2918" w:type="dxa"/>
          </w:tcPr>
          <w:p w14:paraId="46CB6B0F" w14:textId="7F2FC4E2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Correlation of US-assessed changes in gastric volume and </w:t>
            </w:r>
            <w:proofErr w:type="spellStart"/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labeled</w:t>
            </w:r>
            <w:proofErr w:type="spellEnd"/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carbon exhalation and GRV</w:t>
            </w:r>
          </w:p>
        </w:tc>
        <w:tc>
          <w:tcPr>
            <w:tcW w:w="2701" w:type="dxa"/>
          </w:tcPr>
          <w:p w14:paraId="04D6EC01" w14:textId="77777777" w:rsidR="009C77E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</w:tr>
      <w:tr w:rsidR="009C77ED" w:rsidRPr="00774B82" w14:paraId="10320AF3" w14:textId="77777777" w:rsidTr="00954BFD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305D892" w14:textId="1A4918C7" w:rsidR="009C77ED" w:rsidRDefault="009C77ED" w:rsidP="00BA09B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8: </w:t>
            </w:r>
            <w:proofErr w:type="spellStart"/>
            <w:r w:rsidRPr="00411644">
              <w:rPr>
                <w:rFonts w:asciiTheme="majorHAnsi" w:hAnsiTheme="majorHAnsi"/>
                <w:color w:val="0000FF"/>
                <w:sz w:val="20"/>
                <w:szCs w:val="20"/>
              </w:rPr>
              <w:t>Indication</w:t>
            </w:r>
            <w:proofErr w:type="spellEnd"/>
            <w:r w:rsidRPr="00411644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11644">
              <w:rPr>
                <w:rFonts w:asciiTheme="majorHAnsi" w:hAnsiTheme="majorHAnsi"/>
                <w:color w:val="0000FF"/>
                <w:sz w:val="20"/>
                <w:szCs w:val="20"/>
              </w:rPr>
              <w:t>of</w:t>
            </w:r>
            <w:proofErr w:type="spellEnd"/>
            <w:r w:rsidRPr="00411644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11644">
              <w:rPr>
                <w:rFonts w:asciiTheme="majorHAnsi" w:hAnsiTheme="majorHAnsi"/>
                <w:color w:val="0000FF"/>
                <w:sz w:val="20"/>
                <w:szCs w:val="20"/>
              </w:rPr>
              <w:t>postpyloric</w:t>
            </w:r>
            <w:proofErr w:type="spellEnd"/>
            <w:r w:rsidRPr="00411644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11644">
              <w:rPr>
                <w:rFonts w:asciiTheme="majorHAnsi" w:hAnsiTheme="majorHAnsi"/>
                <w:color w:val="0000FF"/>
                <w:sz w:val="20"/>
                <w:szCs w:val="20"/>
              </w:rPr>
              <w:t>feeding</w:t>
            </w:r>
            <w:proofErr w:type="spellEnd"/>
          </w:p>
        </w:tc>
        <w:tc>
          <w:tcPr>
            <w:tcW w:w="2463" w:type="dxa"/>
          </w:tcPr>
          <w:p w14:paraId="52523B0B" w14:textId="3C1FE9DD" w:rsidR="009C77ED" w:rsidRPr="003706B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Is 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postpyloric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feeding superior to PN in case of gastroparesis?</w:t>
            </w:r>
          </w:p>
        </w:tc>
        <w:tc>
          <w:tcPr>
            <w:tcW w:w="1741" w:type="dxa"/>
          </w:tcPr>
          <w:p w14:paraId="37B00550" w14:textId="2F5B98B5" w:rsidR="009C77ED" w:rsidRPr="000D1BC0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810298">
              <w:rPr>
                <w:rFonts w:asciiTheme="majorHAnsi" w:hAnsiTheme="majorHAnsi"/>
                <w:sz w:val="20"/>
                <w:szCs w:val="20"/>
              </w:rPr>
              <w:t>Multicenter RCT</w:t>
            </w:r>
          </w:p>
        </w:tc>
        <w:tc>
          <w:tcPr>
            <w:tcW w:w="1977" w:type="dxa"/>
            <w:gridSpan w:val="2"/>
          </w:tcPr>
          <w:p w14:paraId="76C8B29D" w14:textId="67FE1964" w:rsidR="009C77ED" w:rsidRPr="003706BD" w:rsidRDefault="009C77ED" w:rsidP="00FC2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Adult ICU patients with gastroparesis (e.g. GRV&gt;500ml with 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prokinetics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263" w:type="dxa"/>
          </w:tcPr>
          <w:p w14:paraId="0C79281A" w14:textId="1A20EFAA" w:rsidR="009C77ED" w:rsidRPr="003706B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spellStart"/>
            <w:r w:rsidRPr="00810298">
              <w:rPr>
                <w:rFonts w:asciiTheme="majorHAnsi" w:hAnsiTheme="majorHAnsi"/>
                <w:sz w:val="20"/>
                <w:szCs w:val="20"/>
              </w:rPr>
              <w:t>Postpyloric</w:t>
            </w:r>
            <w:proofErr w:type="spellEnd"/>
            <w:r w:rsidRPr="0081029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10298">
              <w:rPr>
                <w:rFonts w:asciiTheme="majorHAnsi" w:hAnsiTheme="majorHAnsi"/>
                <w:sz w:val="20"/>
                <w:szCs w:val="20"/>
              </w:rPr>
              <w:t>feeding</w:t>
            </w:r>
            <w:proofErr w:type="spellEnd"/>
            <w:r w:rsidRPr="00810298">
              <w:rPr>
                <w:rFonts w:asciiTheme="majorHAnsi" w:hAnsiTheme="majorHAnsi"/>
                <w:sz w:val="20"/>
                <w:szCs w:val="20"/>
              </w:rPr>
              <w:t xml:space="preserve"> versus PN</w:t>
            </w:r>
          </w:p>
        </w:tc>
        <w:tc>
          <w:tcPr>
            <w:tcW w:w="2918" w:type="dxa"/>
          </w:tcPr>
          <w:p w14:paraId="7C971A88" w14:textId="77777777" w:rsidR="009C77ED" w:rsidRPr="003706B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Infections</w:t>
            </w:r>
          </w:p>
          <w:p w14:paraId="4BE1C213" w14:textId="77777777" w:rsidR="009C77ED" w:rsidRPr="003706B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Gastrointestinal complications (including non-occlusive bowel ischemia)</w:t>
            </w:r>
          </w:p>
          <w:p w14:paraId="2EDF37AF" w14:textId="77777777" w:rsid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10298">
              <w:rPr>
                <w:rFonts w:asciiTheme="majorHAnsi" w:hAnsiTheme="majorHAnsi"/>
                <w:sz w:val="20"/>
                <w:szCs w:val="20"/>
              </w:rPr>
              <w:t>Mortality</w:t>
            </w:r>
            <w:proofErr w:type="spellEnd"/>
          </w:p>
          <w:p w14:paraId="1F0412B0" w14:textId="4467F3D0" w:rsidR="009C77ED" w:rsidRPr="003706B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Meeting nutritional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target</w:t>
            </w:r>
            <w:proofErr w:type="spellEnd"/>
          </w:p>
        </w:tc>
        <w:tc>
          <w:tcPr>
            <w:tcW w:w="2701" w:type="dxa"/>
          </w:tcPr>
          <w:p w14:paraId="7A4DA7FA" w14:textId="77777777" w:rsid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</w:tc>
      </w:tr>
      <w:tr w:rsidR="009C77ED" w:rsidRPr="00774B82" w14:paraId="732D5D8E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FB25A9A" w14:textId="4F02D75F" w:rsidR="009C77ED" w:rsidRDefault="009C77ED" w:rsidP="00BA09B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9: </w:t>
            </w:r>
            <w:proofErr w:type="spellStart"/>
            <w:r w:rsidRPr="00E6222A">
              <w:rPr>
                <w:rFonts w:asciiTheme="majorHAnsi" w:hAnsiTheme="majorHAnsi"/>
                <w:color w:val="0000FF"/>
                <w:sz w:val="20"/>
                <w:szCs w:val="20"/>
              </w:rPr>
              <w:t>Pancreatic</w:t>
            </w:r>
            <w:proofErr w:type="spellEnd"/>
            <w:r w:rsidRPr="00E6222A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222A">
              <w:rPr>
                <w:rFonts w:asciiTheme="majorHAnsi" w:hAnsiTheme="majorHAnsi"/>
                <w:color w:val="0000FF"/>
                <w:sz w:val="20"/>
                <w:szCs w:val="20"/>
              </w:rPr>
              <w:t>Insufficiency</w:t>
            </w:r>
            <w:proofErr w:type="spellEnd"/>
            <w:r w:rsidRPr="00E6222A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in ICU</w:t>
            </w:r>
          </w:p>
        </w:tc>
        <w:tc>
          <w:tcPr>
            <w:tcW w:w="2463" w:type="dxa"/>
          </w:tcPr>
          <w:p w14:paraId="084A9573" w14:textId="664D2D38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What is the real incidence and prevalence of exocrine pancreatic enzyme deficiency in ICU patients?</w:t>
            </w:r>
          </w:p>
        </w:tc>
        <w:tc>
          <w:tcPr>
            <w:tcW w:w="1741" w:type="dxa"/>
          </w:tcPr>
          <w:p w14:paraId="39CCA2CC" w14:textId="77777777" w:rsidR="009C77ED" w:rsidRPr="00E6222A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E6222A">
              <w:rPr>
                <w:rFonts w:asciiTheme="majorHAnsi" w:hAnsiTheme="majorHAnsi"/>
                <w:sz w:val="20"/>
                <w:szCs w:val="20"/>
              </w:rPr>
              <w:t>Prospective</w:t>
            </w:r>
            <w:proofErr w:type="spellEnd"/>
            <w:r w:rsidRPr="00E622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6222A">
              <w:rPr>
                <w:rFonts w:asciiTheme="majorHAnsi" w:hAnsiTheme="majorHAnsi"/>
                <w:sz w:val="20"/>
                <w:szCs w:val="20"/>
              </w:rPr>
              <w:t>observational</w:t>
            </w:r>
            <w:proofErr w:type="spellEnd"/>
            <w:r w:rsidRPr="00E6222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3054058A" w14:textId="77777777" w:rsidR="009C77ED" w:rsidRPr="00810298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7" w:type="dxa"/>
            <w:gridSpan w:val="2"/>
          </w:tcPr>
          <w:p w14:paraId="226551C8" w14:textId="7A8E43B3" w:rsidR="009C77ED" w:rsidRPr="003706BD" w:rsidRDefault="009C77ED" w:rsidP="00FC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Adult ICU patients receiving EN</w:t>
            </w:r>
          </w:p>
        </w:tc>
        <w:tc>
          <w:tcPr>
            <w:tcW w:w="2263" w:type="dxa"/>
          </w:tcPr>
          <w:p w14:paraId="23FF268C" w14:textId="3EC810D4" w:rsidR="009C77ED" w:rsidRPr="00810298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E6222A">
              <w:rPr>
                <w:rFonts w:asciiTheme="majorHAnsi" w:hAnsiTheme="majorHAnsi"/>
                <w:sz w:val="20"/>
                <w:szCs w:val="20"/>
              </w:rPr>
              <w:t>None</w:t>
            </w:r>
          </w:p>
        </w:tc>
        <w:tc>
          <w:tcPr>
            <w:tcW w:w="2918" w:type="dxa"/>
          </w:tcPr>
          <w:p w14:paraId="1C3A76F3" w14:textId="77777777" w:rsidR="009C77ED" w:rsidRPr="00E6222A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GI symptoms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*</w:t>
            </w:r>
          </w:p>
          <w:p w14:paraId="09F20B44" w14:textId="77777777" w:rsidR="009C77ED" w:rsidRPr="00E6222A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Success of EN</w:t>
            </w:r>
          </w:p>
          <w:p w14:paraId="25A6F204" w14:textId="77777777" w:rsidR="009C77ED" w:rsidRPr="00E6222A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Fecal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fat</w:t>
            </w:r>
          </w:p>
          <w:p w14:paraId="109F53C8" w14:textId="77777777" w:rsidR="009C77E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E6222A">
              <w:rPr>
                <w:rFonts w:asciiTheme="majorHAnsi" w:hAnsiTheme="majorHAnsi"/>
                <w:sz w:val="20"/>
                <w:szCs w:val="20"/>
              </w:rPr>
              <w:t xml:space="preserve">Elastase-1 </w:t>
            </w:r>
            <w:proofErr w:type="spellStart"/>
            <w:r w:rsidRPr="00E6222A">
              <w:rPr>
                <w:rFonts w:asciiTheme="majorHAnsi" w:hAnsiTheme="majorHAnsi"/>
                <w:sz w:val="20"/>
                <w:szCs w:val="20"/>
              </w:rPr>
              <w:t>stool</w:t>
            </w:r>
            <w:proofErr w:type="spellEnd"/>
          </w:p>
          <w:p w14:paraId="4B5DC858" w14:textId="77777777" w:rsidR="009C77ED" w:rsidRPr="00E6222A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Serum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trypsinogen</w:t>
            </w:r>
            <w:proofErr w:type="spellEnd"/>
          </w:p>
          <w:p w14:paraId="67DBA3A5" w14:textId="77777777" w:rsidR="009C77ED" w:rsidRPr="00E6222A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 w:rsidRPr="00E6222A">
              <w:rPr>
                <w:rFonts w:asciiTheme="majorHAnsi" w:hAnsiTheme="majorHAnsi"/>
                <w:sz w:val="20"/>
                <w:szCs w:val="20"/>
              </w:rPr>
              <w:t xml:space="preserve">BOMB </w:t>
            </w:r>
            <w:proofErr w:type="spellStart"/>
            <w:r w:rsidRPr="00E6222A">
              <w:rPr>
                <w:rFonts w:asciiTheme="majorHAnsi" w:hAnsiTheme="majorHAnsi"/>
                <w:sz w:val="20"/>
                <w:szCs w:val="20"/>
              </w:rPr>
              <w:t>calorimetry</w:t>
            </w:r>
            <w:proofErr w:type="spellEnd"/>
          </w:p>
          <w:p w14:paraId="0E7687E1" w14:textId="77777777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2701" w:type="dxa"/>
          </w:tcPr>
          <w:p w14:paraId="74476CFF" w14:textId="7021DC50" w:rsidR="009C77E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Additional option to study the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E6222A">
              <w:rPr>
                <w:rFonts w:asciiTheme="majorHAnsi" w:hAnsiTheme="majorHAnsi"/>
                <w:sz w:val="20"/>
                <w:szCs w:val="20"/>
              </w:rPr>
              <w:t>orrelat</w:t>
            </w:r>
            <w:r>
              <w:rPr>
                <w:rFonts w:asciiTheme="majorHAnsi" w:hAnsiTheme="majorHAnsi"/>
                <w:sz w:val="20"/>
                <w:szCs w:val="20"/>
              </w:rPr>
              <w:t>ion</w:t>
            </w:r>
            <w:proofErr w:type="spellEnd"/>
            <w:r w:rsidRPr="00E622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6222A">
              <w:rPr>
                <w:rFonts w:asciiTheme="majorHAnsi" w:hAnsiTheme="majorHAnsi"/>
                <w:sz w:val="20"/>
                <w:szCs w:val="20"/>
              </w:rPr>
              <w:t>with</w:t>
            </w:r>
            <w:proofErr w:type="spellEnd"/>
            <w:r w:rsidRPr="00E622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6222A">
              <w:rPr>
                <w:rFonts w:asciiTheme="majorHAnsi" w:hAnsiTheme="majorHAnsi"/>
                <w:sz w:val="20"/>
                <w:szCs w:val="20"/>
              </w:rPr>
              <w:t>p</w:t>
            </w:r>
            <w:r>
              <w:rPr>
                <w:rFonts w:asciiTheme="majorHAnsi" w:hAnsiTheme="majorHAnsi"/>
                <w:sz w:val="20"/>
                <w:szCs w:val="20"/>
              </w:rPr>
              <w:t>an</w:t>
            </w:r>
            <w:r w:rsidRPr="00E6222A">
              <w:rPr>
                <w:rFonts w:asciiTheme="majorHAnsi" w:hAnsiTheme="majorHAnsi"/>
                <w:sz w:val="20"/>
                <w:szCs w:val="20"/>
              </w:rPr>
              <w:t>creatic</w:t>
            </w:r>
            <w:proofErr w:type="spellEnd"/>
            <w:r w:rsidRPr="00E622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6222A">
              <w:rPr>
                <w:rFonts w:asciiTheme="majorHAnsi" w:hAnsiTheme="majorHAnsi"/>
                <w:sz w:val="20"/>
                <w:szCs w:val="20"/>
              </w:rPr>
              <w:t>endocrine</w:t>
            </w:r>
            <w:proofErr w:type="spellEnd"/>
            <w:r w:rsidRPr="00E622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6222A">
              <w:rPr>
                <w:rFonts w:asciiTheme="majorHAnsi" w:hAnsiTheme="majorHAnsi"/>
                <w:sz w:val="20"/>
                <w:szCs w:val="20"/>
              </w:rPr>
              <w:t>function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E6222A">
              <w:rPr>
                <w:rFonts w:asciiTheme="majorHAnsi" w:hAnsiTheme="majorHAnsi"/>
                <w:sz w:val="20"/>
                <w:szCs w:val="20"/>
              </w:rPr>
              <w:t>C-peptide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).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Consider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assessment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small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bowel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fluid in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patients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undergoing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endocsopy</w:t>
            </w:r>
            <w:proofErr w:type="spellEnd"/>
          </w:p>
        </w:tc>
      </w:tr>
      <w:tr w:rsidR="009C77ED" w:rsidRPr="00774B82" w14:paraId="7FE283F6" w14:textId="77777777" w:rsidTr="00954BFD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bottom w:val="single" w:sz="8" w:space="0" w:color="4F81BD" w:themeColor="accent1"/>
            </w:tcBorders>
          </w:tcPr>
          <w:p w14:paraId="6B08EF27" w14:textId="046A63FD" w:rsidR="009C77ED" w:rsidRPr="007629BC" w:rsidRDefault="009C77ED" w:rsidP="00FC2080">
            <w:pPr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10: </w:t>
            </w:r>
            <w:r w:rsidRPr="007629BC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AGI </w:t>
            </w:r>
            <w:proofErr w:type="spellStart"/>
            <w:r w:rsidRPr="007629BC">
              <w:rPr>
                <w:rFonts w:asciiTheme="majorHAnsi" w:hAnsiTheme="majorHAnsi"/>
                <w:color w:val="0000FF"/>
                <w:sz w:val="20"/>
                <w:szCs w:val="20"/>
              </w:rPr>
              <w:t>prospective</w:t>
            </w:r>
            <w:proofErr w:type="spellEnd"/>
          </w:p>
        </w:tc>
        <w:tc>
          <w:tcPr>
            <w:tcW w:w="2463" w:type="dxa"/>
            <w:tcBorders>
              <w:bottom w:val="single" w:sz="8" w:space="0" w:color="4F81BD" w:themeColor="accent1"/>
            </w:tcBorders>
          </w:tcPr>
          <w:p w14:paraId="50CB9A10" w14:textId="76E16C72" w:rsidR="009C77ED" w:rsidRPr="000332B8" w:rsidRDefault="009C77ED" w:rsidP="004F3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Does subjectively given AGI score (AGI I-IV) predict the outcome?</w:t>
            </w:r>
          </w:p>
        </w:tc>
        <w:tc>
          <w:tcPr>
            <w:tcW w:w="1741" w:type="dxa"/>
            <w:tcBorders>
              <w:bottom w:val="single" w:sz="8" w:space="0" w:color="4F81BD" w:themeColor="accent1"/>
            </w:tcBorders>
          </w:tcPr>
          <w:p w14:paraId="2DE22B0F" w14:textId="77777777" w:rsidR="009C77ED" w:rsidRPr="000332B8" w:rsidRDefault="009C77ED" w:rsidP="00FC2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0332B8">
              <w:rPr>
                <w:rFonts w:asciiTheme="majorHAnsi" w:hAnsiTheme="majorHAnsi"/>
                <w:sz w:val="20"/>
                <w:szCs w:val="20"/>
              </w:rPr>
              <w:t>Prospective</w:t>
            </w:r>
            <w:proofErr w:type="spellEnd"/>
            <w:r w:rsidRPr="000332B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0332B8">
              <w:rPr>
                <w:rFonts w:asciiTheme="majorHAnsi" w:hAnsiTheme="majorHAnsi"/>
                <w:sz w:val="20"/>
                <w:szCs w:val="20"/>
              </w:rPr>
              <w:t>observational</w:t>
            </w:r>
            <w:proofErr w:type="spellEnd"/>
          </w:p>
        </w:tc>
        <w:tc>
          <w:tcPr>
            <w:tcW w:w="1977" w:type="dxa"/>
            <w:gridSpan w:val="2"/>
            <w:tcBorders>
              <w:bottom w:val="single" w:sz="8" w:space="0" w:color="4F81BD" w:themeColor="accent1"/>
            </w:tcBorders>
          </w:tcPr>
          <w:p w14:paraId="589AB0B8" w14:textId="3FDF58D9" w:rsidR="009C77ED" w:rsidRPr="00F058BB" w:rsidRDefault="009C77ED" w:rsidP="00E4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Consecutive ICU patients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being mechanically ventilated for </w:t>
            </w:r>
            <w:r w:rsidRPr="00111E7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non-elective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reason (planned MV after elective surgery excluded)</w:t>
            </w:r>
          </w:p>
        </w:tc>
        <w:tc>
          <w:tcPr>
            <w:tcW w:w="2263" w:type="dxa"/>
            <w:tcBorders>
              <w:bottom w:val="single" w:sz="8" w:space="0" w:color="4F81BD" w:themeColor="accent1"/>
            </w:tcBorders>
          </w:tcPr>
          <w:p w14:paraId="417A6D9E" w14:textId="44CBDA22" w:rsidR="009C77ED" w:rsidRPr="000332B8" w:rsidRDefault="009C77ED" w:rsidP="004F3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AGI score documented daily. Decisions for diagnostics or treatment taken based on daily assessed GI symptoms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*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documented daily. </w:t>
            </w:r>
          </w:p>
        </w:tc>
        <w:tc>
          <w:tcPr>
            <w:tcW w:w="2918" w:type="dxa"/>
            <w:tcBorders>
              <w:bottom w:val="single" w:sz="8" w:space="0" w:color="4F81BD" w:themeColor="accent1"/>
            </w:tcBorders>
          </w:tcPr>
          <w:p w14:paraId="10CC1A06" w14:textId="761FC39D" w:rsidR="009C77ED" w:rsidRPr="000332B8" w:rsidRDefault="009C77ED" w:rsidP="007C6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GI symptoms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*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, pneumonia, COS</w:t>
            </w:r>
            <w:r w:rsidRPr="000F2965">
              <w:rPr>
                <w:rFonts w:asciiTheme="majorHAnsi" w:hAnsiTheme="majorHAnsi"/>
                <w:sz w:val="20"/>
                <w:szCs w:val="20"/>
                <w:vertAlign w:val="superscript"/>
                <w:lang w:val="en-GB"/>
              </w:rPr>
              <w:t>#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,</w:t>
            </w:r>
          </w:p>
          <w:p w14:paraId="010F0092" w14:textId="587B2A57" w:rsidR="009C77ED" w:rsidRPr="000332B8" w:rsidRDefault="009C77ED" w:rsidP="009B71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ICU outcome, 90-day outcome, long-term patient-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centered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outcome, NOBN, GI anastomosis leakage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(if relevant)</w:t>
            </w:r>
          </w:p>
        </w:tc>
        <w:tc>
          <w:tcPr>
            <w:tcW w:w="2701" w:type="dxa"/>
            <w:tcBorders>
              <w:bottom w:val="single" w:sz="8" w:space="0" w:color="4F81BD" w:themeColor="accent1"/>
            </w:tcBorders>
          </w:tcPr>
          <w:p w14:paraId="30D7E292" w14:textId="473FFDC0" w:rsidR="009C77ED" w:rsidRPr="00111E7F" w:rsidRDefault="009C77ED" w:rsidP="004F3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No standard </w:t>
            </w:r>
            <w:r w:rsidRPr="00111E7F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definition of gastric FI </w:t>
            </w:r>
            <w:r w:rsidRPr="00111E7F">
              <w:rPr>
                <w:rFonts w:asciiTheme="majorHAnsi" w:hAnsiTheme="majorHAnsi"/>
                <w:sz w:val="20"/>
                <w:szCs w:val="20"/>
                <w:lang w:val="en-GB"/>
              </w:rPr>
              <w:t>(a part of AGI score)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.</w:t>
            </w:r>
            <w:r w:rsidRPr="00111E7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14:paraId="379590D8" w14:textId="5594F187" w:rsidR="009C77ED" w:rsidRPr="000E7F54" w:rsidRDefault="009C77ED" w:rsidP="004E0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Preferably adoption of a similar </w:t>
            </w:r>
            <w:r w:rsidRPr="00111E7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feeding protocol (&amp; suggestions for </w:t>
            </w:r>
            <w:proofErr w:type="spellStart"/>
            <w:r w:rsidRPr="00111E7F">
              <w:rPr>
                <w:rFonts w:asciiTheme="majorHAnsi" w:hAnsiTheme="majorHAnsi"/>
                <w:sz w:val="20"/>
                <w:szCs w:val="20"/>
                <w:lang w:val="en-GB"/>
              </w:rPr>
              <w:t>prokinetics</w:t>
            </w:r>
            <w:proofErr w:type="spellEnd"/>
            <w:r w:rsidRPr="00111E7F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in all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GB"/>
              </w:rPr>
              <w:t>centers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. </w:t>
            </w:r>
          </w:p>
        </w:tc>
      </w:tr>
      <w:tr w:rsidR="009C77ED" w:rsidRPr="00774B82" w14:paraId="44F05A40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shd w:val="clear" w:color="auto" w:fill="99CCFF"/>
          </w:tcPr>
          <w:p w14:paraId="78CE34D9" w14:textId="3DB0CAE2" w:rsidR="009C77ED" w:rsidRDefault="009C77ED" w:rsidP="00FC2080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lastRenderedPageBreak/>
              <w:t>A</w:t>
            </w:r>
            <w:r w:rsidRPr="009C77ED">
              <w:rPr>
                <w:rFonts w:asciiTheme="majorHAnsi" w:hAnsiTheme="majorHAnsi"/>
              </w:rPr>
              <w:t>cronym</w:t>
            </w:r>
            <w:proofErr w:type="spellEnd"/>
          </w:p>
        </w:tc>
        <w:tc>
          <w:tcPr>
            <w:tcW w:w="2463" w:type="dxa"/>
            <w:shd w:val="clear" w:color="auto" w:fill="99CCFF"/>
          </w:tcPr>
          <w:p w14:paraId="19CE67B0" w14:textId="42641BD1" w:rsidR="009C77ED" w:rsidRPr="003706BD" w:rsidRDefault="009C77ED" w:rsidP="004F3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</w:rPr>
              <w:t>Q</w:t>
            </w:r>
            <w:r w:rsidRPr="009C77ED">
              <w:rPr>
                <w:rFonts w:asciiTheme="majorHAnsi" w:hAnsiTheme="majorHAnsi"/>
                <w:b/>
              </w:rPr>
              <w:t>uestions</w:t>
            </w:r>
            <w:proofErr w:type="spellEnd"/>
            <w:r w:rsidRPr="009C77ED">
              <w:rPr>
                <w:rFonts w:asciiTheme="majorHAnsi" w:hAnsiTheme="majorHAnsi"/>
                <w:b/>
              </w:rPr>
              <w:t>/</w:t>
            </w:r>
            <w:proofErr w:type="spellStart"/>
            <w:r w:rsidRPr="009C77ED">
              <w:rPr>
                <w:rFonts w:asciiTheme="majorHAnsi" w:hAnsiTheme="majorHAnsi"/>
                <w:b/>
              </w:rPr>
              <w:t>aims</w:t>
            </w:r>
            <w:proofErr w:type="spellEnd"/>
          </w:p>
        </w:tc>
        <w:tc>
          <w:tcPr>
            <w:tcW w:w="1741" w:type="dxa"/>
            <w:shd w:val="clear" w:color="auto" w:fill="99CCFF"/>
          </w:tcPr>
          <w:p w14:paraId="1E6C9259" w14:textId="158BEC75" w:rsidR="009C77ED" w:rsidRPr="000332B8" w:rsidRDefault="009C77ED" w:rsidP="00FC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9C77ED">
              <w:rPr>
                <w:rFonts w:asciiTheme="majorHAnsi" w:hAnsiTheme="majorHAnsi"/>
                <w:b/>
              </w:rPr>
              <w:t>Study design</w:t>
            </w:r>
          </w:p>
        </w:tc>
        <w:tc>
          <w:tcPr>
            <w:tcW w:w="1977" w:type="dxa"/>
            <w:gridSpan w:val="2"/>
            <w:shd w:val="clear" w:color="auto" w:fill="99CCFF"/>
          </w:tcPr>
          <w:p w14:paraId="463717C7" w14:textId="33FAFB94" w:rsidR="009C77ED" w:rsidRPr="003706BD" w:rsidRDefault="009C77ED" w:rsidP="00E47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spellStart"/>
            <w:r w:rsidRPr="009C77ED">
              <w:rPr>
                <w:rFonts w:asciiTheme="majorHAnsi" w:hAnsiTheme="majorHAnsi"/>
                <w:b/>
              </w:rPr>
              <w:t>Subjects</w:t>
            </w:r>
            <w:proofErr w:type="spellEnd"/>
          </w:p>
        </w:tc>
        <w:tc>
          <w:tcPr>
            <w:tcW w:w="2263" w:type="dxa"/>
            <w:shd w:val="clear" w:color="auto" w:fill="99CCFF"/>
          </w:tcPr>
          <w:p w14:paraId="4A981704" w14:textId="3E9223A6" w:rsidR="009C77ED" w:rsidRPr="003706BD" w:rsidRDefault="009C77ED" w:rsidP="004F3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C77ED">
              <w:rPr>
                <w:rFonts w:asciiTheme="majorHAnsi" w:hAnsiTheme="majorHAnsi"/>
                <w:b/>
              </w:rPr>
              <w:t>Details/Intervention</w:t>
            </w:r>
          </w:p>
        </w:tc>
        <w:tc>
          <w:tcPr>
            <w:tcW w:w="2918" w:type="dxa"/>
            <w:shd w:val="clear" w:color="auto" w:fill="99CCFF"/>
          </w:tcPr>
          <w:p w14:paraId="47B7D99B" w14:textId="076E6AB4" w:rsidR="009C77ED" w:rsidRPr="003706BD" w:rsidRDefault="009C77ED" w:rsidP="007C67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C77ED">
              <w:rPr>
                <w:rFonts w:asciiTheme="majorHAnsi" w:hAnsiTheme="majorHAnsi"/>
                <w:b/>
              </w:rPr>
              <w:t>Outcome variables</w:t>
            </w:r>
          </w:p>
        </w:tc>
        <w:tc>
          <w:tcPr>
            <w:tcW w:w="2701" w:type="dxa"/>
            <w:shd w:val="clear" w:color="auto" w:fill="99CCFF"/>
          </w:tcPr>
          <w:p w14:paraId="7323F163" w14:textId="3200353D" w:rsidR="009C77ED" w:rsidRDefault="009C77ED" w:rsidP="004F3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</w:rPr>
              <w:t>Comments</w:t>
            </w:r>
          </w:p>
        </w:tc>
      </w:tr>
      <w:tr w:rsidR="009C77ED" w:rsidRPr="00774B82" w14:paraId="682575F9" w14:textId="77777777" w:rsidTr="00954BFD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BD41E48" w14:textId="61CFB017" w:rsidR="009C77ED" w:rsidRDefault="009C77ED" w:rsidP="00FC2080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11: </w:t>
            </w:r>
            <w:proofErr w:type="spellStart"/>
            <w:r w:rsidRPr="00C83FEC">
              <w:rPr>
                <w:rFonts w:asciiTheme="majorHAnsi" w:hAnsiTheme="majorHAnsi"/>
                <w:color w:val="0000FF"/>
                <w:sz w:val="20"/>
                <w:szCs w:val="20"/>
              </w:rPr>
              <w:t>AGIbiome</w:t>
            </w:r>
            <w:proofErr w:type="spellEnd"/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(+</w:t>
            </w:r>
            <w:proofErr w:type="spellStart"/>
            <w:r>
              <w:rPr>
                <w:rFonts w:asciiTheme="majorHAnsi" w:hAnsiTheme="majorHAnsi"/>
                <w:color w:val="0000FF"/>
                <w:sz w:val="20"/>
                <w:szCs w:val="20"/>
              </w:rPr>
              <w:t>Abxbiome</w:t>
            </w:r>
            <w:proofErr w:type="spellEnd"/>
            <w:r>
              <w:rPr>
                <w:rFonts w:asciiTheme="majorHAnsi" w:hAnsiTheme="majorHAnsi"/>
                <w:color w:val="0000FF"/>
                <w:sz w:val="20"/>
                <w:szCs w:val="20"/>
              </w:rPr>
              <w:t>)</w:t>
            </w:r>
            <w:r w:rsidRPr="00C83FEC">
              <w:rPr>
                <w:rFonts w:asciiTheme="majorHAnsi" w:hAnsiTheme="majorHAnsi"/>
                <w:color w:val="0000FF"/>
                <w:sz w:val="20"/>
                <w:szCs w:val="20"/>
              </w:rPr>
              <w:tab/>
            </w:r>
          </w:p>
        </w:tc>
        <w:tc>
          <w:tcPr>
            <w:tcW w:w="2463" w:type="dxa"/>
          </w:tcPr>
          <w:p w14:paraId="439AA99D" w14:textId="6EA9D4D5" w:rsidR="009C77ED" w:rsidRPr="003706BD" w:rsidRDefault="009C77ED" w:rsidP="004F3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Identification of intestinal microbiome signatures and correlation with AGI and SOFA score</w:t>
            </w:r>
            <w:r w:rsidRPr="003706BD">
              <w:rPr>
                <w:rFonts w:asciiTheme="majorHAnsi" w:hAnsiTheme="maj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41" w:type="dxa"/>
          </w:tcPr>
          <w:p w14:paraId="0456E099" w14:textId="77777777" w:rsidR="009C77ED" w:rsidRPr="00C83FEC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Prospective, observational</w:t>
            </w:r>
          </w:p>
          <w:p w14:paraId="1F69D6CF" w14:textId="77777777" w:rsidR="009C77ED" w:rsidRPr="000332B8" w:rsidRDefault="009C77ED" w:rsidP="00FC2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7" w:type="dxa"/>
            <w:gridSpan w:val="2"/>
          </w:tcPr>
          <w:p w14:paraId="3A6296D2" w14:textId="13F312BE" w:rsidR="009C77ED" w:rsidRPr="003706BD" w:rsidRDefault="009C77ED" w:rsidP="00E47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&gt;200 ICU patients with EN and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/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or PN</w:t>
            </w:r>
          </w:p>
        </w:tc>
        <w:tc>
          <w:tcPr>
            <w:tcW w:w="2263" w:type="dxa"/>
          </w:tcPr>
          <w:p w14:paraId="6F22CF99" w14:textId="77777777" w:rsidR="009C77ED" w:rsidRPr="003706B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Microbiome (multiple body site) sampling</w:t>
            </w:r>
          </w:p>
          <w:p w14:paraId="7340C509" w14:textId="258312DA" w:rsidR="009C77ED" w:rsidRPr="003706BD" w:rsidRDefault="009C77ED" w:rsidP="004F3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Effects of different antibiotics /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feeding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routes</w:t>
            </w:r>
          </w:p>
        </w:tc>
        <w:tc>
          <w:tcPr>
            <w:tcW w:w="2918" w:type="dxa"/>
          </w:tcPr>
          <w:p w14:paraId="3076E8D2" w14:textId="77777777" w:rsidR="009C77ED" w:rsidRPr="00C83FEC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Variability and specificity of 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dysbiosis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patterns according to different AGI grades</w:t>
            </w:r>
          </w:p>
          <w:p w14:paraId="16D3E6CE" w14:textId="706482CA" w:rsidR="009C77ED" w:rsidRPr="00E10187" w:rsidRDefault="009C77ED" w:rsidP="007C67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C83FEC">
              <w:rPr>
                <w:rFonts w:asciiTheme="majorHAnsi" w:hAnsiTheme="majorHAnsi"/>
                <w:sz w:val="20"/>
                <w:szCs w:val="20"/>
              </w:rPr>
              <w:t xml:space="preserve">Intra- </w:t>
            </w:r>
            <w:proofErr w:type="spellStart"/>
            <w:r w:rsidRPr="00C83FEC"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 w:rsidRPr="00C83FEC">
              <w:rPr>
                <w:rFonts w:asciiTheme="majorHAnsi" w:hAnsiTheme="majorHAnsi"/>
                <w:sz w:val="20"/>
                <w:szCs w:val="20"/>
              </w:rPr>
              <w:t xml:space="preserve"> interindividual </w:t>
            </w:r>
            <w:proofErr w:type="spellStart"/>
            <w:r w:rsidRPr="00C83FEC">
              <w:rPr>
                <w:rFonts w:asciiTheme="majorHAnsi" w:hAnsiTheme="majorHAnsi"/>
                <w:sz w:val="20"/>
                <w:szCs w:val="20"/>
              </w:rPr>
              <w:t>microbial</w:t>
            </w:r>
            <w:proofErr w:type="spellEnd"/>
            <w:r w:rsidRPr="00C83F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83FEC">
              <w:rPr>
                <w:rFonts w:asciiTheme="majorHAnsi" w:hAnsiTheme="majorHAnsi"/>
                <w:sz w:val="20"/>
                <w:szCs w:val="20"/>
              </w:rPr>
              <w:t>changes</w:t>
            </w:r>
            <w:proofErr w:type="spellEnd"/>
          </w:p>
        </w:tc>
        <w:tc>
          <w:tcPr>
            <w:tcW w:w="2701" w:type="dxa"/>
          </w:tcPr>
          <w:p w14:paraId="7DD90BB3" w14:textId="77777777" w:rsidR="009C77ED" w:rsidRPr="00C83FEC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83FEC">
              <w:rPr>
                <w:rFonts w:asciiTheme="majorHAnsi" w:hAnsiTheme="majorHAnsi"/>
                <w:sz w:val="20"/>
                <w:szCs w:val="20"/>
                <w:lang w:val="en-US"/>
              </w:rPr>
              <w:t>Large sample size required</w:t>
            </w:r>
          </w:p>
          <w:p w14:paraId="0AA2C75E" w14:textId="77777777" w:rsidR="009C77ED" w:rsidRPr="00C83FEC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C83FEC">
              <w:rPr>
                <w:rFonts w:asciiTheme="majorHAnsi" w:hAnsiTheme="majorHAnsi"/>
                <w:sz w:val="20"/>
                <w:szCs w:val="20"/>
                <w:lang w:val="en-US"/>
              </w:rPr>
              <w:t>Adjustment for different (antimicrobial) treatment</w:t>
            </w:r>
          </w:p>
          <w:p w14:paraId="5A4A1C1D" w14:textId="21C72602" w:rsidR="009C77ED" w:rsidRDefault="009C77ED" w:rsidP="004F3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C83FEC">
              <w:rPr>
                <w:rFonts w:asciiTheme="majorHAnsi" w:hAnsiTheme="majorHAnsi"/>
                <w:sz w:val="20"/>
                <w:szCs w:val="20"/>
                <w:lang w:val="en-US"/>
              </w:rPr>
              <w:t>Standardized sampling and analysis to be established</w:t>
            </w:r>
          </w:p>
        </w:tc>
      </w:tr>
      <w:tr w:rsidR="009C77ED" w:rsidRPr="00774B82" w14:paraId="26D12C7D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FED6356" w14:textId="4CE74030" w:rsidR="009C77ED" w:rsidRPr="00C83EF8" w:rsidRDefault="009C77ED" w:rsidP="00AF5B80">
            <w:pPr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12: </w:t>
            </w:r>
            <w:r w:rsidRPr="00C83EF8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GI </w:t>
            </w:r>
            <w:proofErr w:type="spellStart"/>
            <w:r w:rsidRPr="00C83EF8">
              <w:rPr>
                <w:rFonts w:asciiTheme="majorHAnsi" w:hAnsiTheme="majorHAnsi"/>
                <w:color w:val="0000FF"/>
                <w:sz w:val="20"/>
                <w:szCs w:val="20"/>
              </w:rPr>
              <w:t>diagnosis</w:t>
            </w:r>
            <w:proofErr w:type="spellEnd"/>
          </w:p>
        </w:tc>
        <w:tc>
          <w:tcPr>
            <w:tcW w:w="2463" w:type="dxa"/>
          </w:tcPr>
          <w:p w14:paraId="7104547D" w14:textId="30BAE201" w:rsidR="009C77ED" w:rsidRDefault="009C77ED" w:rsidP="00081417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1. </w:t>
            </w:r>
            <w:r w:rsidRPr="00C83EF8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Is motility, distension and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bowel </w:t>
            </w:r>
            <w:r w:rsidRPr="00C83EF8">
              <w:rPr>
                <w:rFonts w:asciiTheme="majorHAnsi" w:hAnsiTheme="majorHAnsi"/>
                <w:sz w:val="20"/>
                <w:szCs w:val="20"/>
                <w:lang w:val="en-GB"/>
              </w:rPr>
              <w:t>wall thickness as assessed by US associated with GI sy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mptoms</w:t>
            </w:r>
            <w:r w:rsidRPr="00C83EF8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* and</w:t>
            </w:r>
            <w:r w:rsidRPr="00C83EF8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outcome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?</w:t>
            </w:r>
          </w:p>
          <w:p w14:paraId="65C8D30E" w14:textId="751B3840" w:rsidR="009C77ED" w:rsidRPr="0081072C" w:rsidRDefault="009C77ED" w:rsidP="00781221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2. </w:t>
            </w:r>
            <w:r w:rsidRPr="00A24D1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Can clinical assessment and abdominal 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US</w:t>
            </w:r>
            <w:r w:rsidRPr="00A24D1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predict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adverse outcomes (e.g. perforation)</w:t>
            </w:r>
            <w:r w:rsidRPr="00A24D1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41" w:type="dxa"/>
          </w:tcPr>
          <w:p w14:paraId="6455A9E2" w14:textId="747102A0" w:rsidR="009C77ED" w:rsidRPr="00A24D10" w:rsidRDefault="009C77ED" w:rsidP="00A24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A24D10">
              <w:rPr>
                <w:rFonts w:asciiTheme="majorHAnsi" w:hAnsiTheme="majorHAnsi"/>
                <w:sz w:val="20"/>
                <w:szCs w:val="20"/>
              </w:rPr>
              <w:t>Prospective</w:t>
            </w:r>
            <w:proofErr w:type="spellEnd"/>
            <w:r w:rsidRPr="00A24D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24D10">
              <w:rPr>
                <w:rFonts w:asciiTheme="majorHAnsi" w:hAnsiTheme="majorHAnsi"/>
                <w:sz w:val="20"/>
                <w:szCs w:val="20"/>
              </w:rPr>
              <w:t>observational</w:t>
            </w:r>
            <w:proofErr w:type="spellEnd"/>
          </w:p>
        </w:tc>
        <w:tc>
          <w:tcPr>
            <w:tcW w:w="1977" w:type="dxa"/>
            <w:gridSpan w:val="2"/>
          </w:tcPr>
          <w:p w14:paraId="37031D4A" w14:textId="1659846C" w:rsidR="009C77ED" w:rsidRPr="00237F6E" w:rsidRDefault="009C77ED" w:rsidP="00A24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1. </w:t>
            </w: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Adult ICU patients</w:t>
            </w:r>
          </w:p>
          <w:p w14:paraId="6A7BC9D9" w14:textId="120C18AC" w:rsidR="009C77ED" w:rsidRPr="00237F6E" w:rsidRDefault="009C77ED" w:rsidP="00A24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2. Undergoing planned abdominal CT or laparotomy/ </w:t>
            </w:r>
            <w:proofErr w:type="spellStart"/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scopy</w:t>
            </w:r>
            <w:proofErr w:type="spellEnd"/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14:paraId="45632F39" w14:textId="3AE0DFED" w:rsidR="009C77ED" w:rsidRPr="00237F6E" w:rsidRDefault="009C77ED" w:rsidP="00A24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263" w:type="dxa"/>
          </w:tcPr>
          <w:p w14:paraId="01F7FF05" w14:textId="6EEDA87A" w:rsidR="009C77ED" w:rsidRPr="006343E3" w:rsidRDefault="009C77ED" w:rsidP="0061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1. </w:t>
            </w: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Clinical examination with </w:t>
            </w:r>
            <w:r w:rsidRPr="006343E3">
              <w:rPr>
                <w:rFonts w:asciiTheme="majorHAnsi" w:hAnsiTheme="majorHAnsi"/>
                <w:sz w:val="20"/>
                <w:szCs w:val="20"/>
                <w:lang w:val="en-GB"/>
              </w:rPr>
              <w:t>vs. without ultrasound.</w:t>
            </w:r>
          </w:p>
          <w:p w14:paraId="418478BD" w14:textId="2B77376A" w:rsidR="009C77ED" w:rsidRPr="006343E3" w:rsidRDefault="009C77ED" w:rsidP="0061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6343E3">
              <w:rPr>
                <w:rFonts w:asciiTheme="majorHAnsi" w:hAnsiTheme="majorHAnsi"/>
                <w:sz w:val="20"/>
                <w:szCs w:val="20"/>
                <w:lang w:val="en-GB"/>
              </w:rPr>
              <w:t>GRV and IAP measured</w:t>
            </w:r>
          </w:p>
          <w:p w14:paraId="09177BAC" w14:textId="1795AEE2" w:rsidR="009C77ED" w:rsidRPr="005B5C77" w:rsidRDefault="009C77ED" w:rsidP="00AF5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960D9">
              <w:rPr>
                <w:rFonts w:asciiTheme="majorHAnsi" w:hAnsiTheme="majorHAnsi"/>
                <w:sz w:val="20"/>
                <w:szCs w:val="20"/>
                <w:lang w:val="en-GB"/>
              </w:rPr>
              <w:t>2. computed tomography and/or surgical findings</w:t>
            </w: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>. US performed before CT/surgery</w:t>
            </w:r>
          </w:p>
        </w:tc>
        <w:tc>
          <w:tcPr>
            <w:tcW w:w="2918" w:type="dxa"/>
          </w:tcPr>
          <w:p w14:paraId="279CCE3D" w14:textId="6FFA36F8" w:rsidR="009C77ED" w:rsidRPr="005B5C77" w:rsidRDefault="009C77ED" w:rsidP="00FC2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>1. GI symptoms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*</w:t>
            </w: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>, feeding intolerance, success of EN, ICU and hospital outcome</w:t>
            </w:r>
          </w:p>
          <w:p w14:paraId="032A0E75" w14:textId="631345E3" w:rsidR="009C77ED" w:rsidRPr="005B5C77" w:rsidRDefault="009C77ED" w:rsidP="001B1B90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B5C77">
              <w:rPr>
                <w:rFonts w:asciiTheme="majorHAnsi" w:hAnsiTheme="majorHAnsi"/>
                <w:sz w:val="20"/>
                <w:szCs w:val="20"/>
              </w:rPr>
              <w:t>2. Verified clinical outcome:</w:t>
            </w:r>
          </w:p>
          <w:p w14:paraId="64AF046C" w14:textId="01E4040D" w:rsidR="009C77ED" w:rsidRPr="005B5C77" w:rsidRDefault="009C77ED" w:rsidP="001B1B90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US"/>
              </w:rPr>
              <w:t>1) Gut distension (stomach/ small/large bowel)</w:t>
            </w:r>
          </w:p>
          <w:p w14:paraId="29498997" w14:textId="77777777" w:rsidR="009C77ED" w:rsidRPr="005B5C77" w:rsidRDefault="009C77ED" w:rsidP="001B1B90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2) Perforation </w:t>
            </w:r>
          </w:p>
          <w:p w14:paraId="05301DFB" w14:textId="77777777" w:rsidR="009C77ED" w:rsidRPr="005B5C77" w:rsidRDefault="009C77ED" w:rsidP="001B1B90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3) Peritonitis </w:t>
            </w:r>
          </w:p>
          <w:p w14:paraId="64F0206B" w14:textId="21FADB89" w:rsidR="009C77ED" w:rsidRPr="005B5C77" w:rsidRDefault="009C77ED" w:rsidP="001B1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5B5C77">
              <w:rPr>
                <w:rFonts w:asciiTheme="majorHAnsi" w:hAnsiTheme="majorHAnsi"/>
                <w:sz w:val="20"/>
                <w:szCs w:val="20"/>
              </w:rPr>
              <w:t xml:space="preserve">4) Gut </w:t>
            </w:r>
            <w:proofErr w:type="spellStart"/>
            <w:r w:rsidRPr="005B5C77">
              <w:rPr>
                <w:rFonts w:asciiTheme="majorHAnsi" w:hAnsiTheme="majorHAnsi"/>
                <w:sz w:val="20"/>
                <w:szCs w:val="20"/>
              </w:rPr>
              <w:t>ischemia</w:t>
            </w:r>
            <w:proofErr w:type="spellEnd"/>
          </w:p>
        </w:tc>
        <w:tc>
          <w:tcPr>
            <w:tcW w:w="2701" w:type="dxa"/>
          </w:tcPr>
          <w:p w14:paraId="7DB89F01" w14:textId="6C22E730" w:rsidR="009C77ED" w:rsidRPr="00237F6E" w:rsidRDefault="009C77ED" w:rsidP="00A24D10">
            <w:pPr>
              <w:keepNext/>
              <w:keepLines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Clinical and radiological assessors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need to</w:t>
            </w: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be blinded for radiological and clinical results respectively. Ideally they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are</w:t>
            </w:r>
            <w:r w:rsidRPr="005B5C77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not part of the treating team.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Potentially,</w:t>
            </w: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this study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may </w:t>
            </w: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help to define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and grade </w:t>
            </w: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FI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.</w:t>
            </w:r>
          </w:p>
          <w:p w14:paraId="6B1885C8" w14:textId="3049F12D" w:rsidR="009C77ED" w:rsidRPr="00237F6E" w:rsidRDefault="009C77ED" w:rsidP="00A24D10">
            <w:pPr>
              <w:keepNext/>
              <w:keepLines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9C77ED" w:rsidRPr="000D1BC0" w14:paraId="7DDD220C" w14:textId="77777777" w:rsidTr="00954BFD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CF3561C" w14:textId="461ABCBE" w:rsidR="009C77ED" w:rsidRPr="00285B91" w:rsidRDefault="009C77ED" w:rsidP="00634D47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>13: US-</w:t>
            </w:r>
            <w:proofErr w:type="spellStart"/>
            <w:r>
              <w:rPr>
                <w:rFonts w:asciiTheme="majorHAnsi" w:hAnsiTheme="majorHAnsi"/>
                <w:color w:val="0000FF"/>
                <w:sz w:val="20"/>
                <w:szCs w:val="20"/>
              </w:rPr>
              <w:t>Bowel</w:t>
            </w:r>
            <w:proofErr w:type="spellEnd"/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1</w:t>
            </w:r>
          </w:p>
        </w:tc>
        <w:tc>
          <w:tcPr>
            <w:tcW w:w="2463" w:type="dxa"/>
          </w:tcPr>
          <w:p w14:paraId="185C6081" w14:textId="0206DA59" w:rsidR="009C77ED" w:rsidRPr="00237F6E" w:rsidRDefault="009C77ED" w:rsidP="009D1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Can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US</w:t>
            </w: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be used for assessment of</w:t>
            </w:r>
          </w:p>
          <w:p w14:paraId="2AEEFAA0" w14:textId="43B0D2E8" w:rsidR="009C77ED" w:rsidRPr="00237F6E" w:rsidRDefault="009C77ED" w:rsidP="009D1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a) </w:t>
            </w:r>
            <w:proofErr w:type="gramStart"/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bowel</w:t>
            </w:r>
            <w:proofErr w:type="gramEnd"/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peristalsis (and EN tolerance)?</w:t>
            </w:r>
          </w:p>
          <w:p w14:paraId="2A54D6D2" w14:textId="7197EFFC" w:rsidR="009C77ED" w:rsidRPr="00237F6E" w:rsidRDefault="009C77ED" w:rsidP="000D1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b) </w:t>
            </w:r>
            <w:proofErr w:type="gramStart"/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bowel</w:t>
            </w:r>
            <w:proofErr w:type="gramEnd"/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distension and bowel wall thickness?</w:t>
            </w:r>
          </w:p>
          <w:p w14:paraId="6E3B1B1A" w14:textId="7A4BDCF2" w:rsidR="009C77ED" w:rsidRPr="00237F6E" w:rsidRDefault="009C77ED" w:rsidP="005B5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1741" w:type="dxa"/>
          </w:tcPr>
          <w:p w14:paraId="13F72182" w14:textId="77777777" w:rsidR="009C77ED" w:rsidRPr="00237F6E" w:rsidRDefault="009C77ED" w:rsidP="009D1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Proof-of- concept </w:t>
            </w:r>
          </w:p>
          <w:p w14:paraId="6C8BB7B8" w14:textId="0ACD2EC7" w:rsidR="009C77ED" w:rsidRPr="00237F6E" w:rsidRDefault="009C77ED" w:rsidP="0028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Observational study</w:t>
            </w:r>
          </w:p>
        </w:tc>
        <w:tc>
          <w:tcPr>
            <w:tcW w:w="1977" w:type="dxa"/>
            <w:gridSpan w:val="2"/>
          </w:tcPr>
          <w:p w14:paraId="0E16D269" w14:textId="77777777" w:rsidR="009C77ED" w:rsidRDefault="009C77ED" w:rsidP="00B7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a) </w:t>
            </w: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Adult ICU patients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in need of tube feeding expected to stay for at least 3 days</w:t>
            </w:r>
          </w:p>
          <w:p w14:paraId="4713F0AD" w14:textId="4B07D093" w:rsidR="009C77ED" w:rsidRPr="00237F6E" w:rsidRDefault="009C77ED" w:rsidP="00A44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b) </w:t>
            </w: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with indication for abdominal CT</w:t>
            </w:r>
          </w:p>
        </w:tc>
        <w:tc>
          <w:tcPr>
            <w:tcW w:w="2263" w:type="dxa"/>
          </w:tcPr>
          <w:p w14:paraId="52E88E94" w14:textId="6467F188" w:rsidR="009C77ED" w:rsidRPr="00237F6E" w:rsidRDefault="009C77ED" w:rsidP="009D1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237F6E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US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237F6E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daily</w:t>
            </w:r>
          </w:p>
          <w:p w14:paraId="488A05C9" w14:textId="77777777" w:rsidR="009C77ED" w:rsidRPr="00237F6E" w:rsidRDefault="009C77ED" w:rsidP="00FC2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Abdominal ultrasound. Observer blinded to CT-scan results</w:t>
            </w:r>
          </w:p>
          <w:p w14:paraId="6304E6CD" w14:textId="63CDA75D" w:rsidR="009C77ED" w:rsidRPr="00237F6E" w:rsidRDefault="009C77ED" w:rsidP="00A44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Measurement of bowel motility (e.g. g</w:t>
            </w: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astro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-</w:t>
            </w:r>
            <w:proofErr w:type="spellStart"/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graphin</w:t>
            </w:r>
            <w:proofErr w:type="spellEnd"/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X-ray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and /or h</w:t>
            </w: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igh-resolution manometry large bowel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918" w:type="dxa"/>
          </w:tcPr>
          <w:p w14:paraId="66AB2597" w14:textId="3F290425" w:rsidR="009C77ED" w:rsidRPr="00237F6E" w:rsidRDefault="009C77ED" w:rsidP="009D1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Success of EN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, GI symptoms *</w:t>
            </w:r>
          </w:p>
          <w:p w14:paraId="4E172B07" w14:textId="60123EE1" w:rsidR="009C77ED" w:rsidRPr="00237F6E" w:rsidRDefault="009C77ED" w:rsidP="00997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Correlation of US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and clinical symptoms </w:t>
            </w:r>
            <w:r w:rsidRPr="00237F6E">
              <w:rPr>
                <w:rFonts w:asciiTheme="majorHAnsi" w:hAnsiTheme="majorHAnsi"/>
                <w:sz w:val="20"/>
                <w:szCs w:val="20"/>
                <w:lang w:val="en-GB"/>
              </w:rPr>
              <w:t>with CT scan results (Comparison of small and large bowel diameter and wall thickness US vs. CT and X-ray)</w:t>
            </w:r>
          </w:p>
        </w:tc>
        <w:tc>
          <w:tcPr>
            <w:tcW w:w="2701" w:type="dxa"/>
          </w:tcPr>
          <w:p w14:paraId="7FCAB807" w14:textId="6C298286" w:rsidR="009C77ED" w:rsidRDefault="009C77ED" w:rsidP="0028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Potential difficulties </w:t>
            </w:r>
            <w:r w:rsidRPr="00237F6E">
              <w:rPr>
                <w:rFonts w:asciiTheme="majorHAnsi" w:hAnsiTheme="majorHAnsi" w:cs="Arial"/>
                <w:sz w:val="20"/>
                <w:szCs w:val="20"/>
                <w:lang w:val="en-GB"/>
              </w:rPr>
              <w:t>to correlate US location with CT-scan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. </w:t>
            </w:r>
          </w:p>
          <w:p w14:paraId="762FED7F" w14:textId="639A94C4" w:rsidR="009C77ED" w:rsidRPr="00237F6E" w:rsidRDefault="009C77ED" w:rsidP="0028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237F6E">
              <w:rPr>
                <w:rFonts w:asciiTheme="majorHAnsi" w:hAnsiTheme="majorHAnsi" w:cs="Arial"/>
                <w:sz w:val="20"/>
                <w:szCs w:val="20"/>
                <w:lang w:val="en-GB"/>
              </w:rPr>
              <w:t>Radiologist blinded for the other investigation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.</w:t>
            </w:r>
          </w:p>
          <w:p w14:paraId="69DA7C3D" w14:textId="3C4A1851" w:rsidR="009C77ED" w:rsidRPr="00237F6E" w:rsidRDefault="009C77ED" w:rsidP="00A448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9C77ED" w:rsidRPr="000D1BC0" w14:paraId="77A0B520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3503E87" w14:textId="265D1F03" w:rsidR="009C77ED" w:rsidRDefault="009C77ED" w:rsidP="00634D47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FF"/>
                <w:sz w:val="20"/>
                <w:szCs w:val="20"/>
                <w:lang w:val="en-GB"/>
              </w:rPr>
              <w:t xml:space="preserve">14: </w:t>
            </w:r>
            <w:r w:rsidRPr="006343E3">
              <w:rPr>
                <w:rFonts w:asciiTheme="majorHAnsi" w:hAnsiTheme="majorHAnsi" w:cstheme="minorHAnsi"/>
                <w:color w:val="0000FF"/>
                <w:sz w:val="20"/>
                <w:szCs w:val="20"/>
                <w:lang w:val="en-GB"/>
              </w:rPr>
              <w:t>IAH</w:t>
            </w:r>
            <w:r>
              <w:rPr>
                <w:rFonts w:asciiTheme="majorHAnsi" w:hAnsiTheme="majorHAnsi" w:cstheme="minorHAnsi"/>
                <w:color w:val="0000FF"/>
                <w:sz w:val="20"/>
                <w:szCs w:val="20"/>
                <w:lang w:val="en-GB"/>
              </w:rPr>
              <w:t>-</w:t>
            </w:r>
            <w:r w:rsidRPr="006343E3">
              <w:rPr>
                <w:rFonts w:asciiTheme="majorHAnsi" w:hAnsiTheme="majorHAnsi" w:cstheme="minorHAnsi"/>
                <w:color w:val="0000FF"/>
                <w:sz w:val="20"/>
                <w:szCs w:val="20"/>
                <w:lang w:val="en-GB"/>
              </w:rPr>
              <w:t>GI +</w:t>
            </w:r>
            <w:r>
              <w:rPr>
                <w:rFonts w:asciiTheme="majorHAnsi" w:hAnsiTheme="majorHAnsi" w:cstheme="minorHAnsi"/>
                <w:color w:val="0000FF"/>
                <w:sz w:val="20"/>
                <w:szCs w:val="20"/>
                <w:lang w:val="en-GB"/>
              </w:rPr>
              <w:t xml:space="preserve"> </w:t>
            </w:r>
            <w:r w:rsidRPr="006343E3">
              <w:rPr>
                <w:rFonts w:asciiTheme="majorHAnsi" w:hAnsiTheme="majorHAnsi" w:cstheme="minorHAnsi"/>
                <w:color w:val="0000FF"/>
                <w:sz w:val="20"/>
                <w:szCs w:val="20"/>
                <w:lang w:val="en-GB"/>
              </w:rPr>
              <w:t>NOMI-AGI</w:t>
            </w:r>
          </w:p>
        </w:tc>
        <w:tc>
          <w:tcPr>
            <w:tcW w:w="2463" w:type="dxa"/>
          </w:tcPr>
          <w:p w14:paraId="3238877F" w14:textId="77777777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1) </w:t>
            </w: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Does </w:t>
            </w:r>
            <w:proofErr w:type="spellStart"/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protocolised</w:t>
            </w:r>
            <w:proofErr w:type="spellEnd"/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 monitoring of IAP and management of IAH improve outcome?</w:t>
            </w:r>
          </w:p>
          <w:p w14:paraId="387B81EF" w14:textId="3DB2DBF8" w:rsidR="009C77ED" w:rsidRPr="00237F6E" w:rsidRDefault="009C77ED" w:rsidP="009D1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2) 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Is increased IAP associated with GI 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dysmotility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1741" w:type="dxa"/>
          </w:tcPr>
          <w:p w14:paraId="11AD81DA" w14:textId="77777777" w:rsidR="009C77E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1) </w:t>
            </w:r>
            <w:r w:rsidRPr="00694247">
              <w:rPr>
                <w:rFonts w:asciiTheme="majorHAnsi" w:hAnsiTheme="majorHAnsi" w:cstheme="minorHAnsi"/>
                <w:sz w:val="20"/>
                <w:szCs w:val="20"/>
              </w:rPr>
              <w:t>RCT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14:paraId="75346CD7" w14:textId="485B49FB" w:rsidR="009C77ED" w:rsidRPr="00237F6E" w:rsidRDefault="009C77ED" w:rsidP="009D1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observational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substudy</w:t>
            </w:r>
            <w:proofErr w:type="spellEnd"/>
          </w:p>
        </w:tc>
        <w:tc>
          <w:tcPr>
            <w:tcW w:w="1977" w:type="dxa"/>
            <w:gridSpan w:val="2"/>
          </w:tcPr>
          <w:p w14:paraId="77405BBA" w14:textId="71320E74" w:rsidR="009C77ED" w:rsidRDefault="009C77ED" w:rsidP="00B7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MV patients at risk of IAH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2263" w:type="dxa"/>
          </w:tcPr>
          <w:p w14:paraId="2861640A" w14:textId="77777777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Intervention: Monitoring and management of IAP based on the protocol (bundle of preventive measures). Control: standard care. </w:t>
            </w:r>
          </w:p>
          <w:p w14:paraId="7B0BF6DD" w14:textId="3B479CB0" w:rsidR="009C77ED" w:rsidRPr="00237F6E" w:rsidRDefault="009C77ED" w:rsidP="009D1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US in intervention gr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oup</w:t>
            </w:r>
          </w:p>
        </w:tc>
        <w:tc>
          <w:tcPr>
            <w:tcW w:w="2918" w:type="dxa"/>
          </w:tcPr>
          <w:p w14:paraId="4552E999" w14:textId="77777777" w:rsidR="009C77ED" w:rsidRPr="00694247" w:rsidRDefault="009C77ED" w:rsidP="00CB29BD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9424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Mesenteric ischemia</w:t>
            </w:r>
          </w:p>
          <w:p w14:paraId="18D86E5F" w14:textId="77777777" w:rsidR="009C77ED" w:rsidRDefault="009C77ED" w:rsidP="00CB29BD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Incidence of infections / sepsis</w:t>
            </w:r>
          </w:p>
          <w:p w14:paraId="420EF98B" w14:textId="77777777" w:rsidR="009C77ED" w:rsidRDefault="009C77ED" w:rsidP="00CB29BD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69424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Mortality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90d, LOS, GI symptoms*</w:t>
            </w:r>
          </w:p>
          <w:p w14:paraId="53882AD4" w14:textId="77777777" w:rsidR="009C77ED" w:rsidRDefault="009C77ED" w:rsidP="00CB29BD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Obervational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substudy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:</w:t>
            </w:r>
          </w:p>
          <w:p w14:paraId="150A65B6" w14:textId="29DFDEFC" w:rsidR="009C77ED" w:rsidRPr="00237F6E" w:rsidRDefault="009C77ED" w:rsidP="009D1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Correlation between IAP and GI motility as assessed by US </w:t>
            </w:r>
          </w:p>
        </w:tc>
        <w:tc>
          <w:tcPr>
            <w:tcW w:w="2701" w:type="dxa"/>
          </w:tcPr>
          <w:p w14:paraId="4AECC079" w14:textId="77777777" w:rsidR="009C77ED" w:rsidRDefault="009C77ED" w:rsidP="00285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9C77ED" w:rsidRPr="000D1BC0" w14:paraId="60429FBF" w14:textId="77777777" w:rsidTr="00954BFD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tcBorders>
              <w:bottom w:val="single" w:sz="8" w:space="0" w:color="4F81BD" w:themeColor="accent1"/>
            </w:tcBorders>
          </w:tcPr>
          <w:p w14:paraId="0917DBF6" w14:textId="65790FB9" w:rsidR="009C77ED" w:rsidRDefault="009C77ED" w:rsidP="00634D47">
            <w:pPr>
              <w:rPr>
                <w:rFonts w:asciiTheme="majorHAnsi" w:hAnsiTheme="majorHAnsi" w:cstheme="minorHAnsi"/>
                <w:color w:val="0000FF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  <w:t xml:space="preserve">15: </w:t>
            </w:r>
            <w:r w:rsidRPr="003706BD"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  <w:t xml:space="preserve">PPI </w:t>
            </w:r>
            <w:r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  <w:t xml:space="preserve">and </w:t>
            </w:r>
            <w:proofErr w:type="spellStart"/>
            <w:r w:rsidRPr="003706BD"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  <w:t>dysbiosis</w:t>
            </w:r>
            <w:proofErr w:type="spellEnd"/>
          </w:p>
        </w:tc>
        <w:tc>
          <w:tcPr>
            <w:tcW w:w="2463" w:type="dxa"/>
            <w:tcBorders>
              <w:bottom w:val="single" w:sz="8" w:space="0" w:color="4F81BD" w:themeColor="accent1"/>
            </w:tcBorders>
          </w:tcPr>
          <w:p w14:paraId="06CB3224" w14:textId="77777777" w:rsid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Does usage of PPI versus no PPI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alters the intestinal microbiome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? </w:t>
            </w:r>
          </w:p>
          <w:p w14:paraId="735E1726" w14:textId="77777777" w:rsid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41" w:type="dxa"/>
            <w:tcBorders>
              <w:bottom w:val="single" w:sz="8" w:space="0" w:color="4F81BD" w:themeColor="accent1"/>
            </w:tcBorders>
          </w:tcPr>
          <w:p w14:paraId="7BAB0224" w14:textId="3C4F33CB" w:rsid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7F2A33">
              <w:rPr>
                <w:rFonts w:asciiTheme="majorHAnsi" w:hAnsiTheme="majorHAnsi"/>
                <w:sz w:val="20"/>
                <w:szCs w:val="20"/>
              </w:rPr>
              <w:t>RCT</w:t>
            </w:r>
          </w:p>
        </w:tc>
        <w:tc>
          <w:tcPr>
            <w:tcW w:w="1977" w:type="dxa"/>
            <w:gridSpan w:val="2"/>
            <w:tcBorders>
              <w:bottom w:val="single" w:sz="8" w:space="0" w:color="4F81BD" w:themeColor="accent1"/>
            </w:tcBorders>
          </w:tcPr>
          <w:p w14:paraId="6CD77431" w14:textId="77777777" w:rsidR="009C77ED" w:rsidRDefault="009C77ED" w:rsidP="00E10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Mech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.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ventilated ICU patients in need of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EN and without an absolute indi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cation for PPI</w:t>
            </w:r>
          </w:p>
          <w:p w14:paraId="20917F61" w14:textId="77777777" w:rsidR="009C77ED" w:rsidRDefault="009C77ED" w:rsidP="00E10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8D06C9B" w14:textId="77777777" w:rsidR="009C77ED" w:rsidRDefault="009C77ED" w:rsidP="00E10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EE32AE9" w14:textId="77777777" w:rsidR="009C77ED" w:rsidRDefault="009C77ED" w:rsidP="00E10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A7E0A4C" w14:textId="4FE8367D" w:rsidR="009C77ED" w:rsidRPr="003706BD" w:rsidRDefault="009C77ED" w:rsidP="00E10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3" w:type="dxa"/>
            <w:tcBorders>
              <w:bottom w:val="single" w:sz="8" w:space="0" w:color="4F81BD" w:themeColor="accent1"/>
            </w:tcBorders>
          </w:tcPr>
          <w:p w14:paraId="45F527E8" w14:textId="77777777" w:rsid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Faecal m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icrobiome </w:t>
            </w:r>
          </w:p>
          <w:p w14:paraId="005E031E" w14:textId="6908C06D" w:rsidR="009C77ED" w:rsidRPr="003706B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Clostridium difficile infection</w:t>
            </w:r>
          </w:p>
        </w:tc>
        <w:tc>
          <w:tcPr>
            <w:tcW w:w="2918" w:type="dxa"/>
            <w:tcBorders>
              <w:bottom w:val="single" w:sz="8" w:space="0" w:color="4F81BD" w:themeColor="accent1"/>
            </w:tcBorders>
          </w:tcPr>
          <w:p w14:paraId="0FCB0AF0" w14:textId="77777777" w:rsidR="009C77ED" w:rsidRDefault="009C77ED" w:rsidP="00CB29BD">
            <w:pPr>
              <w:pStyle w:val="Paragraphedeliste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en-US"/>
              </w:rPr>
              <w:t>Faecal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microbiome pattern</w:t>
            </w:r>
          </w:p>
          <w:p w14:paraId="31AA52E4" w14:textId="7B6F5DE5" w:rsidR="009C77ED" w:rsidRPr="00694247" w:rsidRDefault="009C77ED" w:rsidP="00CB29BD">
            <w:pPr>
              <w:pStyle w:val="Paragraphedeliste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Incidence of Clostridium difficile colitis </w:t>
            </w:r>
          </w:p>
        </w:tc>
        <w:tc>
          <w:tcPr>
            <w:tcW w:w="2701" w:type="dxa"/>
            <w:tcBorders>
              <w:bottom w:val="single" w:sz="8" w:space="0" w:color="4F81BD" w:themeColor="accent1"/>
            </w:tcBorders>
          </w:tcPr>
          <w:p w14:paraId="7A7209AE" w14:textId="77777777" w:rsidR="009C77ED" w:rsidRPr="007F2A33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7F2A3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Large sample size required if also 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powered</w:t>
            </w:r>
            <w:r w:rsidRPr="007F2A3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for clinical endpoints </w:t>
            </w:r>
          </w:p>
          <w:p w14:paraId="6E3AC91F" w14:textId="77777777" w:rsidR="009C77ED" w:rsidRDefault="009C77ED" w:rsidP="0028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9C77ED" w:rsidRPr="000D1BC0" w14:paraId="005C37DB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shd w:val="clear" w:color="auto" w:fill="99CCFF"/>
          </w:tcPr>
          <w:p w14:paraId="5E8724B6" w14:textId="67E01914" w:rsidR="009C77ED" w:rsidRDefault="009C77ED" w:rsidP="00634D47">
            <w:pPr>
              <w:rPr>
                <w:rFonts w:asciiTheme="majorHAnsi" w:hAnsiTheme="majorHAnsi"/>
                <w:color w:val="0000FF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/>
              </w:rPr>
              <w:lastRenderedPageBreak/>
              <w:t>A</w:t>
            </w:r>
            <w:r w:rsidRPr="009C77ED">
              <w:rPr>
                <w:rFonts w:asciiTheme="majorHAnsi" w:hAnsiTheme="majorHAnsi"/>
              </w:rPr>
              <w:t>cronym</w:t>
            </w:r>
            <w:proofErr w:type="spellEnd"/>
          </w:p>
        </w:tc>
        <w:tc>
          <w:tcPr>
            <w:tcW w:w="2463" w:type="dxa"/>
            <w:shd w:val="clear" w:color="auto" w:fill="99CCFF"/>
          </w:tcPr>
          <w:p w14:paraId="01984259" w14:textId="1B2F13F2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</w:rPr>
              <w:t>Q</w:t>
            </w:r>
            <w:r w:rsidRPr="009C77ED">
              <w:rPr>
                <w:rFonts w:asciiTheme="majorHAnsi" w:hAnsiTheme="majorHAnsi"/>
                <w:b/>
              </w:rPr>
              <w:t>uestions</w:t>
            </w:r>
            <w:proofErr w:type="spellEnd"/>
            <w:r w:rsidRPr="009C77ED">
              <w:rPr>
                <w:rFonts w:asciiTheme="majorHAnsi" w:hAnsiTheme="majorHAnsi"/>
                <w:b/>
              </w:rPr>
              <w:t>/</w:t>
            </w:r>
            <w:proofErr w:type="spellStart"/>
            <w:r w:rsidRPr="009C77ED">
              <w:rPr>
                <w:rFonts w:asciiTheme="majorHAnsi" w:hAnsiTheme="majorHAnsi"/>
                <w:b/>
              </w:rPr>
              <w:t>aims</w:t>
            </w:r>
            <w:proofErr w:type="spellEnd"/>
          </w:p>
        </w:tc>
        <w:tc>
          <w:tcPr>
            <w:tcW w:w="1741" w:type="dxa"/>
            <w:shd w:val="clear" w:color="auto" w:fill="99CCFF"/>
          </w:tcPr>
          <w:p w14:paraId="4935F6D8" w14:textId="781CF22B" w:rsidR="009C77ED" w:rsidRPr="007F2A33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9C77ED">
              <w:rPr>
                <w:rFonts w:asciiTheme="majorHAnsi" w:hAnsiTheme="majorHAnsi"/>
                <w:b/>
              </w:rPr>
              <w:t>Study design</w:t>
            </w:r>
          </w:p>
        </w:tc>
        <w:tc>
          <w:tcPr>
            <w:tcW w:w="1977" w:type="dxa"/>
            <w:gridSpan w:val="2"/>
            <w:shd w:val="clear" w:color="auto" w:fill="99CCFF"/>
          </w:tcPr>
          <w:p w14:paraId="364BA43F" w14:textId="098351DD" w:rsidR="009C77ED" w:rsidRPr="003706BD" w:rsidRDefault="009C77ED" w:rsidP="00E10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proofErr w:type="spellStart"/>
            <w:r w:rsidRPr="009C77ED">
              <w:rPr>
                <w:rFonts w:asciiTheme="majorHAnsi" w:hAnsiTheme="majorHAnsi"/>
                <w:b/>
              </w:rPr>
              <w:t>Subjects</w:t>
            </w:r>
            <w:proofErr w:type="spellEnd"/>
          </w:p>
        </w:tc>
        <w:tc>
          <w:tcPr>
            <w:tcW w:w="2263" w:type="dxa"/>
            <w:shd w:val="clear" w:color="auto" w:fill="99CCFF"/>
          </w:tcPr>
          <w:p w14:paraId="0EE8D9C9" w14:textId="0DE830AE" w:rsidR="009C77E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9C77ED">
              <w:rPr>
                <w:rFonts w:asciiTheme="majorHAnsi" w:hAnsiTheme="majorHAnsi"/>
                <w:b/>
              </w:rPr>
              <w:t>Details/Intervention</w:t>
            </w:r>
          </w:p>
        </w:tc>
        <w:tc>
          <w:tcPr>
            <w:tcW w:w="2918" w:type="dxa"/>
            <w:shd w:val="clear" w:color="auto" w:fill="99CCFF"/>
          </w:tcPr>
          <w:p w14:paraId="15F79FC8" w14:textId="1FA028D4" w:rsidR="009C77ED" w:rsidRDefault="009C77ED" w:rsidP="00CB29BD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9C77ED">
              <w:rPr>
                <w:rFonts w:asciiTheme="majorHAnsi" w:hAnsiTheme="majorHAnsi"/>
                <w:b/>
              </w:rPr>
              <w:t>Outcome variables</w:t>
            </w:r>
          </w:p>
        </w:tc>
        <w:tc>
          <w:tcPr>
            <w:tcW w:w="2701" w:type="dxa"/>
            <w:shd w:val="clear" w:color="auto" w:fill="99CCFF"/>
          </w:tcPr>
          <w:p w14:paraId="57B97221" w14:textId="5E4B0788" w:rsidR="009C77ED" w:rsidRPr="007F2A33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>Comments</w:t>
            </w:r>
          </w:p>
        </w:tc>
      </w:tr>
      <w:tr w:rsidR="009C77ED" w:rsidRPr="000D1BC0" w14:paraId="6DBDA705" w14:textId="77777777" w:rsidTr="00954BFD">
        <w:trPr>
          <w:trHeight w:val="2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91389FC" w14:textId="3C140827" w:rsidR="009C77ED" w:rsidRDefault="009C77ED" w:rsidP="00634D47">
            <w:pPr>
              <w:rPr>
                <w:rFonts w:asciiTheme="majorHAnsi" w:hAnsiTheme="majorHAnsi" w:cstheme="minorHAnsi"/>
                <w:color w:val="0000FF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imes New Roman"/>
                <w:color w:val="0000FF"/>
                <w:sz w:val="20"/>
                <w:szCs w:val="20"/>
                <w:lang w:val="en-GB"/>
              </w:rPr>
              <w:t>16:</w:t>
            </w:r>
            <w:r w:rsidRPr="003706BD">
              <w:rPr>
                <w:rFonts w:asciiTheme="majorHAnsi" w:hAnsiTheme="majorHAnsi" w:cs="Times New Roman"/>
                <w:color w:val="0000FF"/>
                <w:sz w:val="20"/>
                <w:szCs w:val="20"/>
                <w:lang w:val="en-GB"/>
              </w:rPr>
              <w:t xml:space="preserve"> Prophylaxis </w:t>
            </w:r>
            <w:r>
              <w:rPr>
                <w:rFonts w:asciiTheme="majorHAnsi" w:hAnsiTheme="majorHAnsi" w:cs="Times New Roman"/>
                <w:color w:val="0000FF"/>
                <w:sz w:val="20"/>
                <w:szCs w:val="20"/>
                <w:lang w:val="en-GB"/>
              </w:rPr>
              <w:t xml:space="preserve">vs Treatment </w:t>
            </w:r>
            <w:r w:rsidRPr="003706BD">
              <w:rPr>
                <w:rFonts w:asciiTheme="majorHAnsi" w:hAnsiTheme="majorHAnsi" w:cs="Times New Roman"/>
                <w:color w:val="0000FF"/>
                <w:sz w:val="20"/>
                <w:szCs w:val="20"/>
                <w:lang w:val="en-GB"/>
              </w:rPr>
              <w:t xml:space="preserve">of lower GI intolerance </w:t>
            </w:r>
          </w:p>
        </w:tc>
        <w:tc>
          <w:tcPr>
            <w:tcW w:w="2463" w:type="dxa"/>
          </w:tcPr>
          <w:p w14:paraId="5DA1811B" w14:textId="51EC99A2" w:rsid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Does the prophylactic use of motility agents 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prokinetics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and laxative drugs) 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reduce time to defecation, improve feeding tolerance and GI dysfunction based on AGI grading?</w:t>
            </w:r>
          </w:p>
        </w:tc>
        <w:tc>
          <w:tcPr>
            <w:tcW w:w="1741" w:type="dxa"/>
          </w:tcPr>
          <w:p w14:paraId="17E2CC9E" w14:textId="7CCEAA39" w:rsid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1A4A06">
              <w:rPr>
                <w:rFonts w:asciiTheme="majorHAnsi" w:hAnsiTheme="majorHAnsi" w:cs="Times New Roman"/>
                <w:sz w:val="20"/>
                <w:szCs w:val="20"/>
              </w:rPr>
              <w:t>Multicenter RCT</w:t>
            </w:r>
          </w:p>
        </w:tc>
        <w:tc>
          <w:tcPr>
            <w:tcW w:w="1977" w:type="dxa"/>
            <w:gridSpan w:val="2"/>
          </w:tcPr>
          <w:p w14:paraId="72D07AC6" w14:textId="1F654CC3" w:rsidR="009C77ED" w:rsidRPr="003706BD" w:rsidRDefault="009C77ED" w:rsidP="00B7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Adult consecutive ICU patients with </w:t>
            </w:r>
            <w:proofErr w:type="spellStart"/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with</w:t>
            </w:r>
            <w:proofErr w:type="spellEnd"/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expected stay of &gt;3d?</w:t>
            </w:r>
          </w:p>
        </w:tc>
        <w:tc>
          <w:tcPr>
            <w:tcW w:w="2263" w:type="dxa"/>
          </w:tcPr>
          <w:p w14:paraId="4302F2AB" w14:textId="0C3E98A7" w:rsidR="009C77ED" w:rsidRPr="003706B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1A4A0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Two study arms, same drugs (e.g. </w:t>
            </w:r>
            <w:proofErr w:type="spellStart"/>
            <w:r w:rsidRPr="001A4A0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Macrogol</w:t>
            </w:r>
            <w:proofErr w:type="spellEnd"/>
            <w:r w:rsidRPr="001A4A0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, Laxatives) and dosages, different timing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(routine administration or only in confirmed constipation/ bowel paralysis)</w:t>
            </w:r>
          </w:p>
        </w:tc>
        <w:tc>
          <w:tcPr>
            <w:tcW w:w="2918" w:type="dxa"/>
          </w:tcPr>
          <w:p w14:paraId="587300E7" w14:textId="77777777" w:rsidR="009C77ED" w:rsidRPr="006343E3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6343E3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AGI dynamics</w:t>
            </w:r>
          </w:p>
          <w:p w14:paraId="4EF68DA3" w14:textId="77777777" w:rsidR="009C77ED" w:rsidRPr="006343E3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6343E3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COS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(c</w:t>
            </w:r>
            <w:r w:rsidRPr="00B02C08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linical outcomes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)</w:t>
            </w:r>
          </w:p>
          <w:p w14:paraId="63A47962" w14:textId="77777777" w:rsidR="009C77ED" w:rsidRPr="006343E3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6343E3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Infections</w:t>
            </w:r>
          </w:p>
          <w:p w14:paraId="37D19645" w14:textId="77777777" w:rsidR="009C77ED" w:rsidRPr="006343E3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6343E3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Diarrhoea</w:t>
            </w:r>
          </w:p>
          <w:p w14:paraId="7E7E9D98" w14:textId="77777777" w:rsidR="009C77ED" w:rsidRPr="006343E3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6343E3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Mesenteric ischemia</w:t>
            </w:r>
          </w:p>
          <w:p w14:paraId="5A70C9D3" w14:textId="77777777" w:rsidR="009C77ED" w:rsidRPr="006343E3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</w:p>
          <w:p w14:paraId="632463F5" w14:textId="77777777" w:rsidR="009C77ED" w:rsidRPr="00694247" w:rsidRDefault="009C77ED" w:rsidP="00CB29BD">
            <w:pPr>
              <w:pStyle w:val="Paragraphedeliste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701" w:type="dxa"/>
          </w:tcPr>
          <w:p w14:paraId="061BA60B" w14:textId="33FB9C5D" w:rsidR="009C77ED" w:rsidRDefault="009C77ED" w:rsidP="0028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1A4A06">
              <w:rPr>
                <w:rFonts w:asciiTheme="majorHAnsi" w:hAnsiTheme="majorHAnsi" w:cs="Times New Roman"/>
                <w:sz w:val="20"/>
                <w:szCs w:val="20"/>
              </w:rPr>
              <w:t xml:space="preserve">Study </w:t>
            </w:r>
            <w:proofErr w:type="spellStart"/>
            <w:r w:rsidRPr="001A4A06">
              <w:rPr>
                <w:rFonts w:asciiTheme="majorHAnsi" w:hAnsiTheme="majorHAnsi" w:cs="Times New Roman"/>
                <w:sz w:val="20"/>
                <w:szCs w:val="20"/>
              </w:rPr>
              <w:t>duration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defined</w:t>
            </w:r>
            <w:proofErr w:type="spellEnd"/>
          </w:p>
        </w:tc>
      </w:tr>
      <w:tr w:rsidR="009C77ED" w:rsidRPr="000D1BC0" w14:paraId="291F96B0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5D6C1DE" w14:textId="238D1FEB" w:rsidR="009C77ED" w:rsidRDefault="009C77ED" w:rsidP="00634D47">
            <w:pPr>
              <w:rPr>
                <w:rFonts w:asciiTheme="majorHAnsi" w:hAnsiTheme="majorHAnsi" w:cs="Times New Roman"/>
                <w:color w:val="0000FF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17: </w:t>
            </w:r>
            <w:proofErr w:type="spellStart"/>
            <w:r w:rsidRPr="002F1BA1">
              <w:rPr>
                <w:rFonts w:asciiTheme="majorHAnsi" w:hAnsiTheme="majorHAnsi"/>
                <w:color w:val="0000FF"/>
                <w:sz w:val="20"/>
                <w:szCs w:val="20"/>
              </w:rPr>
              <w:t>F</w:t>
            </w:r>
            <w:r>
              <w:rPr>
                <w:rFonts w:asciiTheme="majorHAnsi" w:hAnsiTheme="majorHAnsi"/>
                <w:color w:val="0000FF"/>
                <w:sz w:val="20"/>
                <w:szCs w:val="20"/>
              </w:rPr>
              <w:t>l</w:t>
            </w:r>
            <w:r w:rsidRPr="002F1BA1">
              <w:rPr>
                <w:rFonts w:asciiTheme="majorHAnsi" w:hAnsiTheme="majorHAnsi"/>
                <w:color w:val="0000FF"/>
                <w:sz w:val="20"/>
                <w:szCs w:val="20"/>
              </w:rPr>
              <w:t>uids</w:t>
            </w:r>
            <w:proofErr w:type="spellEnd"/>
            <w:r w:rsidRPr="002F1BA1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2</w:t>
            </w:r>
          </w:p>
        </w:tc>
        <w:tc>
          <w:tcPr>
            <w:tcW w:w="2463" w:type="dxa"/>
          </w:tcPr>
          <w:p w14:paraId="2AD8527E" w14:textId="5B2E5940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12304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Are bowel distension and wall thickness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and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GB"/>
              </w:rPr>
              <w:t>dysmotility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312304">
              <w:rPr>
                <w:rFonts w:asciiTheme="majorHAnsi" w:hAnsiTheme="majorHAnsi"/>
                <w:sz w:val="20"/>
                <w:szCs w:val="20"/>
                <w:lang w:val="en-GB"/>
              </w:rPr>
              <w:t>related to vasopressor dose and fluid balance?</w:t>
            </w:r>
          </w:p>
        </w:tc>
        <w:tc>
          <w:tcPr>
            <w:tcW w:w="1741" w:type="dxa"/>
          </w:tcPr>
          <w:p w14:paraId="47E17461" w14:textId="1C22DD2B" w:rsidR="009C77ED" w:rsidRPr="001A4A06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Observational study</w:t>
            </w:r>
          </w:p>
        </w:tc>
        <w:tc>
          <w:tcPr>
            <w:tcW w:w="1977" w:type="dxa"/>
            <w:gridSpan w:val="2"/>
          </w:tcPr>
          <w:p w14:paraId="2F3A8774" w14:textId="008B8A33" w:rsidR="009C77ED" w:rsidRPr="003706BD" w:rsidRDefault="009C77ED" w:rsidP="00B7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12304">
              <w:rPr>
                <w:rFonts w:asciiTheme="majorHAnsi" w:hAnsiTheme="majorHAnsi"/>
                <w:sz w:val="20"/>
                <w:szCs w:val="20"/>
                <w:lang w:val="en-GB"/>
              </w:rPr>
              <w:t>ICU patients scheduled for abdominal CT scan</w:t>
            </w:r>
          </w:p>
        </w:tc>
        <w:tc>
          <w:tcPr>
            <w:tcW w:w="2263" w:type="dxa"/>
          </w:tcPr>
          <w:p w14:paraId="04417643" w14:textId="77777777" w:rsidR="009C77ED" w:rsidRPr="00312304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312304">
              <w:rPr>
                <w:rFonts w:asciiTheme="majorHAnsi" w:hAnsiTheme="majorHAnsi"/>
                <w:sz w:val="20"/>
                <w:szCs w:val="20"/>
              </w:rPr>
              <w:t>Vasopressor</w:t>
            </w:r>
            <w:proofErr w:type="spellEnd"/>
            <w:r w:rsidRPr="00312304">
              <w:rPr>
                <w:rFonts w:asciiTheme="majorHAnsi" w:hAnsiTheme="majorHAnsi"/>
                <w:sz w:val="20"/>
                <w:szCs w:val="20"/>
              </w:rPr>
              <w:t xml:space="preserve"> dose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36B3B4A" w14:textId="5E629080" w:rsidR="009C77ED" w:rsidRPr="001A4A06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cumulative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) f</w:t>
            </w:r>
            <w:r w:rsidRPr="00312304">
              <w:rPr>
                <w:rFonts w:asciiTheme="majorHAnsi" w:hAnsiTheme="majorHAnsi"/>
                <w:sz w:val="20"/>
                <w:szCs w:val="20"/>
              </w:rPr>
              <w:t xml:space="preserve">luid </w:t>
            </w:r>
            <w:proofErr w:type="spellStart"/>
            <w:r w:rsidRPr="00312304">
              <w:rPr>
                <w:rFonts w:asciiTheme="majorHAnsi" w:hAnsiTheme="majorHAnsi"/>
                <w:sz w:val="20"/>
                <w:szCs w:val="20"/>
              </w:rPr>
              <w:t>balance</w:t>
            </w:r>
            <w:proofErr w:type="spellEnd"/>
          </w:p>
        </w:tc>
        <w:tc>
          <w:tcPr>
            <w:tcW w:w="2918" w:type="dxa"/>
          </w:tcPr>
          <w:p w14:paraId="73CE7107" w14:textId="064E71A0" w:rsidR="009C77ED" w:rsidRPr="006343E3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12304">
              <w:rPr>
                <w:rFonts w:asciiTheme="majorHAnsi" w:hAnsiTheme="majorHAnsi"/>
                <w:sz w:val="20"/>
                <w:szCs w:val="20"/>
                <w:lang w:val="en-GB"/>
              </w:rPr>
              <w:t>Association between small and large bowel diameter/wall thickness (US/CT)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Pr="00312304">
              <w:rPr>
                <w:rFonts w:asciiTheme="majorHAnsi" w:hAnsiTheme="majorHAnsi"/>
                <w:sz w:val="20"/>
                <w:szCs w:val="20"/>
                <w:lang w:val="en-GB"/>
              </w:rPr>
              <w:t>and vasopressor dose/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cumulative </w:t>
            </w:r>
            <w:r w:rsidRPr="00312304">
              <w:rPr>
                <w:rFonts w:asciiTheme="majorHAnsi" w:hAnsiTheme="majorHAnsi"/>
                <w:sz w:val="20"/>
                <w:szCs w:val="20"/>
                <w:lang w:val="en-GB"/>
              </w:rPr>
              <w:t>fluid balance</w:t>
            </w:r>
          </w:p>
        </w:tc>
        <w:tc>
          <w:tcPr>
            <w:tcW w:w="2701" w:type="dxa"/>
          </w:tcPr>
          <w:p w14:paraId="51D31027" w14:textId="0A69C9AA" w:rsidR="009C77ED" w:rsidRPr="001A4A06" w:rsidRDefault="009C77ED" w:rsidP="00285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Vasopressor dose difficult to quantify in patients receiving different vasopressors. A priori agreement on the definition of vasopressor dose and (cumulative) fluid balance </w:t>
            </w:r>
          </w:p>
        </w:tc>
      </w:tr>
      <w:tr w:rsidR="009C77ED" w:rsidRPr="000D1BC0" w14:paraId="00206D42" w14:textId="77777777" w:rsidTr="00954BFD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4BEC667" w14:textId="580F354E" w:rsidR="009C77ED" w:rsidRDefault="009C77ED" w:rsidP="00634D47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18: </w:t>
            </w:r>
            <w:r w:rsidRPr="0018110E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BA-MA  </w:t>
            </w:r>
          </w:p>
        </w:tc>
        <w:tc>
          <w:tcPr>
            <w:tcW w:w="2463" w:type="dxa"/>
          </w:tcPr>
          <w:p w14:paraId="65CE2785" w14:textId="1703B337" w:rsidR="009C77ED" w:rsidRPr="00312304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To validate bile acid 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signaling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molecules as biomarkers for malabsorption</w:t>
            </w:r>
          </w:p>
        </w:tc>
        <w:tc>
          <w:tcPr>
            <w:tcW w:w="1741" w:type="dxa"/>
          </w:tcPr>
          <w:p w14:paraId="30CF0BCF" w14:textId="03FF06CA" w:rsid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B3B9B">
              <w:rPr>
                <w:rFonts w:asciiTheme="majorHAnsi" w:hAnsiTheme="majorHAnsi"/>
                <w:sz w:val="20"/>
                <w:szCs w:val="20"/>
              </w:rPr>
              <w:t>Prospective</w:t>
            </w:r>
            <w:proofErr w:type="spellEnd"/>
            <w:r w:rsidRPr="00DB3B9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DB3B9B">
              <w:rPr>
                <w:rFonts w:asciiTheme="majorHAnsi" w:hAnsiTheme="majorHAnsi"/>
                <w:sz w:val="20"/>
                <w:szCs w:val="20"/>
              </w:rPr>
              <w:t>multicenter</w:t>
            </w:r>
            <w:proofErr w:type="spellEnd"/>
            <w:r w:rsidRPr="00DB3B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B3B9B">
              <w:rPr>
                <w:rFonts w:asciiTheme="majorHAnsi" w:hAnsiTheme="majorHAnsi"/>
                <w:sz w:val="20"/>
                <w:szCs w:val="20"/>
              </w:rPr>
              <w:t>observational</w:t>
            </w:r>
            <w:proofErr w:type="spellEnd"/>
            <w:r w:rsidRPr="00DB3B9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B3B9B">
              <w:rPr>
                <w:rFonts w:asciiTheme="majorHAnsi" w:hAnsiTheme="majorHAnsi"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977" w:type="dxa"/>
            <w:gridSpan w:val="2"/>
          </w:tcPr>
          <w:p w14:paraId="1204CCA8" w14:textId="69B43171" w:rsidR="009C77ED" w:rsidRPr="00312304" w:rsidRDefault="009C77ED" w:rsidP="00B70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MV ICU </w:t>
            </w:r>
            <w:proofErr w:type="spellStart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pt</w:t>
            </w:r>
            <w:proofErr w:type="spellEnd"/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expected stay for &gt;=3 days</w:t>
            </w:r>
          </w:p>
        </w:tc>
        <w:tc>
          <w:tcPr>
            <w:tcW w:w="2263" w:type="dxa"/>
          </w:tcPr>
          <w:p w14:paraId="40D99D54" w14:textId="77777777" w:rsidR="009C77ED" w:rsidRPr="003706BD" w:rsidRDefault="009C77ED" w:rsidP="00CB29BD">
            <w:pPr>
              <w:tabs>
                <w:tab w:val="left" w:pos="111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Measurement of biomarkers (serum BA, FXR, FGF-19). 3-OMG. Cholestasis-parameters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,</w:t>
            </w:r>
          </w:p>
          <w:p w14:paraId="5D2C154F" w14:textId="777568A5" w:rsidR="009C77ED" w:rsidRPr="00312304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BOMB-calorimetry</w:t>
            </w:r>
          </w:p>
        </w:tc>
        <w:tc>
          <w:tcPr>
            <w:tcW w:w="2918" w:type="dxa"/>
          </w:tcPr>
          <w:p w14:paraId="7F3A4E17" w14:textId="6E3C6691" w:rsidR="009C77ED" w:rsidRPr="00312304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>Association between BA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s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>(and regulators/ligands)</w:t>
            </w:r>
            <w:r w:rsidRPr="003706BD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and malabsorption. Associations between clinical symptoms and bile acid metabolites</w:t>
            </w:r>
          </w:p>
        </w:tc>
        <w:tc>
          <w:tcPr>
            <w:tcW w:w="2701" w:type="dxa"/>
          </w:tcPr>
          <w:p w14:paraId="1E37C6C8" w14:textId="77777777" w:rsidR="009C77ED" w:rsidRDefault="009C77ED" w:rsidP="00CB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="Arial"/>
                <w:sz w:val="20"/>
                <w:szCs w:val="20"/>
                <w:lang w:val="en-GB"/>
              </w:rPr>
              <w:t>Timing of measurements to be defined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.</w:t>
            </w:r>
          </w:p>
          <w:p w14:paraId="7AD2B2C0" w14:textId="5CD1B51B" w:rsidR="009C77ED" w:rsidRDefault="009C77ED" w:rsidP="00285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Definition/reference standard for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malabsorbtion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of different macronutrients needed.</w:t>
            </w:r>
          </w:p>
        </w:tc>
      </w:tr>
      <w:tr w:rsidR="009C77ED" w:rsidRPr="000D1BC0" w14:paraId="0B7C80A2" w14:textId="77777777" w:rsidTr="00954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6C4CDEE" w14:textId="0445A416" w:rsidR="009C77ED" w:rsidRDefault="009C77ED" w:rsidP="00634D47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 xml:space="preserve">19: </w:t>
            </w:r>
            <w:r w:rsidRPr="007629BC"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 xml:space="preserve">GI </w:t>
            </w:r>
            <w:proofErr w:type="spellStart"/>
            <w:r w:rsidRPr="007629BC"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>and</w:t>
            </w:r>
            <w:proofErr w:type="spellEnd"/>
            <w:r w:rsidRPr="007629BC">
              <w:rPr>
                <w:rFonts w:asciiTheme="majorHAnsi" w:hAnsiTheme="majorHAnsi" w:cstheme="minorHAnsi"/>
                <w:color w:val="0000FF"/>
                <w:sz w:val="20"/>
                <w:szCs w:val="20"/>
              </w:rPr>
              <w:t xml:space="preserve"> IAP</w:t>
            </w:r>
          </w:p>
        </w:tc>
        <w:tc>
          <w:tcPr>
            <w:tcW w:w="2463" w:type="dxa"/>
          </w:tcPr>
          <w:p w14:paraId="1C95BFE5" w14:textId="77777777" w:rsidR="009C77ED" w:rsidRPr="003706BD" w:rsidRDefault="009C77ED" w:rsidP="005F6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Which GI symptoms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 *</w:t>
            </w: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 should trigger IAP measurements?</w:t>
            </w:r>
          </w:p>
          <w:p w14:paraId="271D1295" w14:textId="37EF6C2A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Which IAP values should trigger specific monitoring of GI?</w:t>
            </w:r>
          </w:p>
        </w:tc>
        <w:tc>
          <w:tcPr>
            <w:tcW w:w="1741" w:type="dxa"/>
          </w:tcPr>
          <w:p w14:paraId="77155508" w14:textId="77777777" w:rsidR="009C77ED" w:rsidRPr="003706BD" w:rsidRDefault="009C77ED" w:rsidP="005F6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Post-hoc analysis of combined databases (prospective observational)</w:t>
            </w:r>
          </w:p>
          <w:p w14:paraId="215E9FEB" w14:textId="77777777" w:rsidR="009C77ED" w:rsidRPr="00DB3B9B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77" w:type="dxa"/>
            <w:gridSpan w:val="2"/>
          </w:tcPr>
          <w:p w14:paraId="086C0294" w14:textId="77777777" w:rsidR="009C77ED" w:rsidRPr="00694247" w:rsidRDefault="009C77ED" w:rsidP="005F6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>Patients</w:t>
            </w:r>
            <w:proofErr w:type="spellEnd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 xml:space="preserve"> in </w:t>
            </w:r>
            <w:proofErr w:type="spellStart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>performed</w:t>
            </w:r>
            <w:proofErr w:type="spellEnd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>studies</w:t>
            </w:r>
            <w:proofErr w:type="spellEnd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 xml:space="preserve"> IROI, </w:t>
            </w:r>
            <w:proofErr w:type="spellStart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>iSOFA</w:t>
            </w:r>
            <w:proofErr w:type="spellEnd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>)?</w:t>
            </w:r>
          </w:p>
          <w:p w14:paraId="4629C047" w14:textId="77777777" w:rsidR="009C77ED" w:rsidRPr="003706BD" w:rsidRDefault="009C77ED" w:rsidP="00B70C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2263" w:type="dxa"/>
          </w:tcPr>
          <w:p w14:paraId="32ABA62F" w14:textId="77777777" w:rsidR="009C77ED" w:rsidRPr="00694247" w:rsidRDefault="009C77ED" w:rsidP="005F6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>identification</w:t>
            </w:r>
            <w:proofErr w:type="spellEnd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>and</w:t>
            </w:r>
            <w:proofErr w:type="spellEnd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>merging</w:t>
            </w:r>
            <w:proofErr w:type="spellEnd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>of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existing</w:t>
            </w:r>
            <w:proofErr w:type="spellEnd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694247">
              <w:rPr>
                <w:rFonts w:asciiTheme="majorHAnsi" w:hAnsiTheme="majorHAnsi" w:cstheme="minorHAnsi"/>
                <w:sz w:val="20"/>
                <w:szCs w:val="20"/>
              </w:rPr>
              <w:t>databases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iSOFA</w:t>
            </w:r>
            <w:proofErr w:type="spellEnd"/>
            <w:r w:rsidRPr="003706BD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, IROI, others?)</w:t>
            </w:r>
          </w:p>
          <w:p w14:paraId="4AC24FB0" w14:textId="77777777" w:rsidR="009C77ED" w:rsidRPr="003706BD" w:rsidRDefault="009C77ED" w:rsidP="00CB29BD">
            <w:pPr>
              <w:tabs>
                <w:tab w:val="left" w:pos="1119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2918" w:type="dxa"/>
          </w:tcPr>
          <w:p w14:paraId="1B78025C" w14:textId="7E13184F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Association of GI symptoms with </w:t>
            </w:r>
            <w:r w:rsidRPr="0069424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IAH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, m</w:t>
            </w:r>
            <w:r w:rsidRPr="0069424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esenteric ischemia</w:t>
            </w: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and m</w:t>
            </w:r>
            <w:r w:rsidRPr="0069424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ortality</w:t>
            </w:r>
          </w:p>
        </w:tc>
        <w:tc>
          <w:tcPr>
            <w:tcW w:w="2701" w:type="dxa"/>
          </w:tcPr>
          <w:p w14:paraId="3D989A97" w14:textId="77777777" w:rsidR="009C77ED" w:rsidRPr="00694247" w:rsidRDefault="009C77ED" w:rsidP="005F66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  <w:p w14:paraId="65FF3AB8" w14:textId="77777777" w:rsidR="009C77ED" w:rsidRPr="003706BD" w:rsidRDefault="009C77ED" w:rsidP="00CB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9C77ED" w:rsidRPr="00774B82" w14:paraId="54D1FBEF" w14:textId="77777777" w:rsidTr="00954BFD">
        <w:trPr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7D12A5B" w14:textId="72675ECB" w:rsidR="009C77ED" w:rsidRPr="003D7B65" w:rsidRDefault="009C77ED" w:rsidP="00B10C40">
            <w:pPr>
              <w:rPr>
                <w:rFonts w:asciiTheme="majorHAnsi" w:hAnsiTheme="majorHAnsi"/>
                <w:color w:val="0000FF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imes New Roman"/>
                <w:color w:val="0000FF"/>
                <w:sz w:val="20"/>
                <w:szCs w:val="20"/>
              </w:rPr>
              <w:t xml:space="preserve">20: </w:t>
            </w:r>
            <w:r w:rsidRPr="003D7B65">
              <w:rPr>
                <w:rFonts w:asciiTheme="majorHAnsi" w:hAnsiTheme="majorHAnsi" w:cs="Times New Roman"/>
                <w:color w:val="0000FF"/>
                <w:sz w:val="20"/>
                <w:szCs w:val="20"/>
              </w:rPr>
              <w:t>Opioid-</w:t>
            </w:r>
            <w:proofErr w:type="spellStart"/>
            <w:r w:rsidRPr="003D7B65">
              <w:rPr>
                <w:rFonts w:asciiTheme="majorHAnsi" w:hAnsiTheme="majorHAnsi" w:cs="Times New Roman"/>
                <w:color w:val="0000FF"/>
                <w:sz w:val="20"/>
                <w:szCs w:val="20"/>
              </w:rPr>
              <w:t>antagonists</w:t>
            </w:r>
            <w:proofErr w:type="spellEnd"/>
            <w:r w:rsidRPr="003D7B65">
              <w:rPr>
                <w:rFonts w:asciiTheme="majorHAnsi" w:hAnsiTheme="majorHAnsi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3D7B65">
              <w:rPr>
                <w:rFonts w:asciiTheme="majorHAnsi" w:hAnsiTheme="majorHAnsi" w:cs="Times New Roman"/>
                <w:color w:val="0000FF"/>
                <w:sz w:val="20"/>
                <w:szCs w:val="20"/>
              </w:rPr>
              <w:t>for</w:t>
            </w:r>
            <w:proofErr w:type="spellEnd"/>
            <w:r w:rsidRPr="003D7B65">
              <w:rPr>
                <w:rFonts w:asciiTheme="majorHAnsi" w:hAnsiTheme="majorHAnsi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FF"/>
                <w:sz w:val="20"/>
                <w:szCs w:val="20"/>
              </w:rPr>
              <w:t>bowel</w:t>
            </w:r>
            <w:proofErr w:type="spellEnd"/>
            <w:r>
              <w:rPr>
                <w:rFonts w:asciiTheme="majorHAnsi" w:hAnsiTheme="majorHAnsi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color w:val="0000FF"/>
                <w:sz w:val="20"/>
                <w:szCs w:val="20"/>
              </w:rPr>
              <w:t>paralysis</w:t>
            </w:r>
            <w:proofErr w:type="spellEnd"/>
            <w:r>
              <w:rPr>
                <w:rFonts w:asciiTheme="majorHAnsi" w:hAnsiTheme="majorHAnsi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463" w:type="dxa"/>
          </w:tcPr>
          <w:p w14:paraId="3E52B8D4" w14:textId="13D3B1F8" w:rsidR="009C77ED" w:rsidRPr="003D7B65" w:rsidRDefault="009C77ED" w:rsidP="00081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Do opioid antagonists reduce time to defecation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and GI symptoms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?</w:t>
            </w:r>
          </w:p>
          <w:p w14:paraId="6E51231A" w14:textId="77777777" w:rsidR="009C77ED" w:rsidRDefault="009C77ED" w:rsidP="00B6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(Validate opioid antagonists for constipation in ICU)</w:t>
            </w:r>
          </w:p>
          <w:p w14:paraId="068979B5" w14:textId="11B8C6F1" w:rsidR="009C77ED" w:rsidRPr="003D7B65" w:rsidRDefault="009C77ED" w:rsidP="00B66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Potential </w:t>
            </w:r>
            <w:proofErr w:type="spellStart"/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substudy</w:t>
            </w:r>
            <w:proofErr w:type="spellEnd"/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: study the impact on intestinal absorption</w:t>
            </w:r>
          </w:p>
        </w:tc>
        <w:tc>
          <w:tcPr>
            <w:tcW w:w="1741" w:type="dxa"/>
          </w:tcPr>
          <w:p w14:paraId="630EBC50" w14:textId="77777777" w:rsidR="009C77ED" w:rsidRPr="003D7B65" w:rsidRDefault="009C77ED" w:rsidP="00CB5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 w:rsidRPr="003D7B65">
              <w:rPr>
                <w:rFonts w:asciiTheme="majorHAnsi" w:hAnsiTheme="majorHAnsi" w:cs="Times New Roman"/>
                <w:sz w:val="20"/>
                <w:szCs w:val="20"/>
              </w:rPr>
              <w:t>Multicenter RCT</w:t>
            </w:r>
          </w:p>
        </w:tc>
        <w:tc>
          <w:tcPr>
            <w:tcW w:w="1603" w:type="dxa"/>
          </w:tcPr>
          <w:p w14:paraId="475B45AB" w14:textId="77777777" w:rsidR="009C77ED" w:rsidRPr="003D7B65" w:rsidRDefault="009C77ED" w:rsidP="00CB5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Adult ICU patients with opioid requirement above a minimal dosage </w:t>
            </w:r>
          </w:p>
        </w:tc>
        <w:tc>
          <w:tcPr>
            <w:tcW w:w="2637" w:type="dxa"/>
            <w:gridSpan w:val="2"/>
          </w:tcPr>
          <w:p w14:paraId="41B53BF9" w14:textId="1E16B91A" w:rsidR="009C77ED" w:rsidRPr="003706BD" w:rsidRDefault="009C77ED" w:rsidP="00954BFD">
            <w:p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proofErr w:type="spellStart"/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Methylnaltrexone</w:t>
            </w:r>
            <w:proofErr w:type="spellEnd"/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vs Placebo.</w:t>
            </w:r>
          </w:p>
          <w:p w14:paraId="138C8D96" w14:textId="1590689E" w:rsidR="009C77ED" w:rsidRPr="003D7B65" w:rsidRDefault="009C77ED" w:rsidP="00954BFD">
            <w:p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Other opioid antag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o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nists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2918" w:type="dxa"/>
          </w:tcPr>
          <w:p w14:paraId="4FAE5528" w14:textId="3E32C26E" w:rsidR="009C77ED" w:rsidRDefault="009C77ED" w:rsidP="00CB5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Time to first defecation</w:t>
            </w:r>
          </w:p>
          <w:p w14:paraId="12206C84" w14:textId="3B5F3CDA" w:rsidR="009C77ED" w:rsidRPr="003D7B65" w:rsidRDefault="009C77ED" w:rsidP="00CB5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COS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#</w:t>
            </w:r>
          </w:p>
          <w:p w14:paraId="00EFC033" w14:textId="77777777" w:rsidR="009C77ED" w:rsidRPr="003D7B65" w:rsidRDefault="009C77ED" w:rsidP="00CB5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Diarrhoea</w:t>
            </w:r>
          </w:p>
          <w:p w14:paraId="4B676E5D" w14:textId="6FCC2ABD" w:rsidR="009C77ED" w:rsidRPr="003706BD" w:rsidRDefault="009C77ED" w:rsidP="00CB5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GI symptoms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 xml:space="preserve"> *</w:t>
            </w:r>
          </w:p>
          <w:p w14:paraId="0C673765" w14:textId="3DA3B12D" w:rsidR="009C77ED" w:rsidRPr="003706BD" w:rsidRDefault="009C77ED" w:rsidP="00CB5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(</w:t>
            </w:r>
            <w:r w:rsidRPr="003706BD"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Absorption</w:t>
            </w:r>
            <w:r>
              <w:rPr>
                <w:rFonts w:asciiTheme="majorHAnsi" w:hAnsiTheme="majorHAnsi" w:cs="Times New Roman"/>
                <w:sz w:val="20"/>
                <w:szCs w:val="20"/>
                <w:lang w:val="en-GB"/>
              </w:rPr>
              <w:t>)</w:t>
            </w:r>
          </w:p>
          <w:p w14:paraId="08AD1981" w14:textId="600A35FD" w:rsidR="009C77ED" w:rsidRPr="003D7B65" w:rsidRDefault="009C77ED" w:rsidP="00CB5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sz w:val="20"/>
                <w:szCs w:val="20"/>
              </w:rPr>
              <w:t>Infections</w:t>
            </w:r>
            <w:proofErr w:type="spellEnd"/>
          </w:p>
        </w:tc>
        <w:tc>
          <w:tcPr>
            <w:tcW w:w="2701" w:type="dxa"/>
          </w:tcPr>
          <w:p w14:paraId="7BB473F8" w14:textId="701088F6" w:rsidR="009C77ED" w:rsidRPr="003D7B65" w:rsidRDefault="009C77ED" w:rsidP="00CB5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lang w:val="en-US"/>
              </w:rPr>
            </w:pPr>
          </w:p>
        </w:tc>
      </w:tr>
    </w:tbl>
    <w:p w14:paraId="068BA894" w14:textId="77777777" w:rsidR="00FD2213" w:rsidRDefault="00FD2213" w:rsidP="00A86EDB">
      <w:pPr>
        <w:rPr>
          <w:i/>
          <w:sz w:val="20"/>
          <w:szCs w:val="20"/>
        </w:rPr>
      </w:pPr>
    </w:p>
    <w:p w14:paraId="6E99CA32" w14:textId="77777777" w:rsidR="00FD2213" w:rsidRPr="00FD2213" w:rsidRDefault="00FD2213" w:rsidP="00A86EDB">
      <w:pPr>
        <w:rPr>
          <w:b/>
          <w:sz w:val="20"/>
          <w:szCs w:val="20"/>
        </w:rPr>
      </w:pPr>
      <w:r w:rsidRPr="00FD2213">
        <w:rPr>
          <w:b/>
          <w:sz w:val="20"/>
          <w:szCs w:val="20"/>
        </w:rPr>
        <w:t>Abbreviations</w:t>
      </w:r>
    </w:p>
    <w:p w14:paraId="653922EC" w14:textId="1CEECBB0" w:rsidR="00691EE3" w:rsidRPr="00630F23" w:rsidRDefault="00370DF4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α-GST – α-glutathione</w:t>
      </w:r>
      <w:r w:rsidR="00691EE3" w:rsidRPr="00630F23">
        <w:rPr>
          <w:i/>
          <w:sz w:val="20"/>
          <w:szCs w:val="20"/>
        </w:rPr>
        <w:t xml:space="preserve"> S-</w:t>
      </w:r>
      <w:proofErr w:type="spellStart"/>
      <w:r w:rsidR="00691EE3" w:rsidRPr="00630F23">
        <w:rPr>
          <w:i/>
          <w:sz w:val="20"/>
          <w:szCs w:val="20"/>
        </w:rPr>
        <w:t>tranferase</w:t>
      </w:r>
      <w:proofErr w:type="spellEnd"/>
    </w:p>
    <w:p w14:paraId="737358C4" w14:textId="5BFDA1C2" w:rsidR="00370DF4" w:rsidRPr="00630F23" w:rsidRDefault="00370DF4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AA – amino acids</w:t>
      </w:r>
    </w:p>
    <w:p w14:paraId="100276B1" w14:textId="2B21444D" w:rsidR="00E47F7C" w:rsidRPr="00630F23" w:rsidRDefault="00E47F7C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AGI – acute gastrointestinal injury</w:t>
      </w:r>
    </w:p>
    <w:p w14:paraId="71DC6E30" w14:textId="7A3D9B24" w:rsidR="00543D6B" w:rsidRPr="00630F23" w:rsidRDefault="00543D6B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BA – bile acid</w:t>
      </w:r>
      <w:r w:rsidR="00370DF4" w:rsidRPr="00630F23">
        <w:rPr>
          <w:i/>
          <w:sz w:val="20"/>
          <w:szCs w:val="20"/>
        </w:rPr>
        <w:t>s</w:t>
      </w:r>
    </w:p>
    <w:p w14:paraId="6238167F" w14:textId="1CC3F482" w:rsidR="00370DF4" w:rsidRPr="00630F23" w:rsidRDefault="00370DF4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lastRenderedPageBreak/>
        <w:t>CH - carbohydrate</w:t>
      </w:r>
    </w:p>
    <w:p w14:paraId="7E64C15E" w14:textId="150FDA63" w:rsidR="00E47F7C" w:rsidRPr="00630F23" w:rsidRDefault="00E47F7C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COS – core outcome set for studies on GI (</w:t>
      </w:r>
      <w:proofErr w:type="spellStart"/>
      <w:r w:rsidRPr="00630F23">
        <w:rPr>
          <w:i/>
          <w:sz w:val="20"/>
          <w:szCs w:val="20"/>
        </w:rPr>
        <w:t>dys</w:t>
      </w:r>
      <w:proofErr w:type="spellEnd"/>
      <w:proofErr w:type="gramStart"/>
      <w:r w:rsidRPr="00630F23">
        <w:rPr>
          <w:i/>
          <w:sz w:val="20"/>
          <w:szCs w:val="20"/>
        </w:rPr>
        <w:t>)function</w:t>
      </w:r>
      <w:proofErr w:type="gramEnd"/>
    </w:p>
    <w:p w14:paraId="199355C4" w14:textId="4C1D5DFF" w:rsidR="0008724E" w:rsidRPr="00630F23" w:rsidRDefault="00543D6B" w:rsidP="0008724E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CRP – C-reactive protein</w:t>
      </w:r>
    </w:p>
    <w:p w14:paraId="6FD0399A" w14:textId="31B74667" w:rsidR="00370DF4" w:rsidRPr="00630F23" w:rsidRDefault="00370DF4" w:rsidP="0008724E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CT – computed tomography</w:t>
      </w:r>
    </w:p>
    <w:p w14:paraId="444E0D14" w14:textId="24C07F4F" w:rsidR="0008724E" w:rsidRPr="00630F23" w:rsidRDefault="0008724E" w:rsidP="0008724E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EN – enteral nutrition</w:t>
      </w:r>
    </w:p>
    <w:p w14:paraId="7E5DD8A0" w14:textId="39D2849F" w:rsidR="00543D6B" w:rsidRPr="00630F23" w:rsidRDefault="00543D6B" w:rsidP="0008724E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FGF</w:t>
      </w:r>
      <w:r w:rsidR="00370DF4" w:rsidRPr="00630F23">
        <w:rPr>
          <w:i/>
          <w:sz w:val="20"/>
          <w:szCs w:val="20"/>
        </w:rPr>
        <w:t>-</w:t>
      </w:r>
      <w:r w:rsidRPr="00630F23">
        <w:rPr>
          <w:i/>
          <w:sz w:val="20"/>
          <w:szCs w:val="20"/>
        </w:rPr>
        <w:t>19 - Fibroblast Growth Factor 19</w:t>
      </w:r>
    </w:p>
    <w:p w14:paraId="7ECFD951" w14:textId="0158A00C" w:rsidR="0008724E" w:rsidRPr="00630F23" w:rsidRDefault="0008724E" w:rsidP="0008724E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FI – feeding intolerance</w:t>
      </w:r>
    </w:p>
    <w:p w14:paraId="6BAF5EBE" w14:textId="68CF9396" w:rsidR="00543D6B" w:rsidRPr="00630F23" w:rsidRDefault="00543D6B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 xml:space="preserve">FXR – </w:t>
      </w:r>
      <w:proofErr w:type="spellStart"/>
      <w:r w:rsidRPr="00630F23">
        <w:rPr>
          <w:i/>
          <w:sz w:val="20"/>
          <w:szCs w:val="20"/>
        </w:rPr>
        <w:t>Farnesoid</w:t>
      </w:r>
      <w:proofErr w:type="spellEnd"/>
      <w:r w:rsidRPr="00630F23">
        <w:rPr>
          <w:i/>
          <w:sz w:val="20"/>
          <w:szCs w:val="20"/>
        </w:rPr>
        <w:t xml:space="preserve"> X receptor</w:t>
      </w:r>
    </w:p>
    <w:p w14:paraId="21877AC2" w14:textId="41D28BBF" w:rsidR="00E47F7C" w:rsidRPr="00630F23" w:rsidRDefault="00E47F7C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GI – gastrointestinal</w:t>
      </w:r>
    </w:p>
    <w:p w14:paraId="3F1F536B" w14:textId="00607839" w:rsidR="00E47F7C" w:rsidRPr="00630F23" w:rsidRDefault="0008724E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GRV – gastric residual volume</w:t>
      </w:r>
    </w:p>
    <w:p w14:paraId="45A13CC3" w14:textId="77777777" w:rsidR="00543D6B" w:rsidRPr="00630F23" w:rsidRDefault="00543D6B" w:rsidP="00543D6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IAH – intra-abdominal hypertension</w:t>
      </w:r>
    </w:p>
    <w:p w14:paraId="55A4D157" w14:textId="77777777" w:rsidR="00543D6B" w:rsidRPr="00630F23" w:rsidRDefault="00543D6B" w:rsidP="00543D6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IAP – intra-abdominal pressure</w:t>
      </w:r>
    </w:p>
    <w:p w14:paraId="2487E80F" w14:textId="018D8569" w:rsidR="00370DF4" w:rsidRPr="00630F23" w:rsidRDefault="00370DF4" w:rsidP="00543D6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IC – indirect calorimetry</w:t>
      </w:r>
    </w:p>
    <w:p w14:paraId="31E412CA" w14:textId="64868F4E" w:rsidR="00E47F7C" w:rsidRPr="00630F23" w:rsidRDefault="0008724E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ICU – intensive care unit</w:t>
      </w:r>
    </w:p>
    <w:p w14:paraId="209E80B4" w14:textId="42705D12" w:rsidR="00543D6B" w:rsidRPr="00630F23" w:rsidRDefault="00543D6B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I-FABP – intestinal fatty acid binding protein</w:t>
      </w:r>
    </w:p>
    <w:p w14:paraId="450831B2" w14:textId="6B7AD454" w:rsidR="00370DF4" w:rsidRPr="00630F23" w:rsidRDefault="00370DF4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IL - interleukin</w:t>
      </w:r>
    </w:p>
    <w:p w14:paraId="00913C17" w14:textId="43A01847" w:rsidR="00370DF4" w:rsidRPr="00630F23" w:rsidRDefault="00370DF4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LOS – length of stay</w:t>
      </w:r>
    </w:p>
    <w:p w14:paraId="19348425" w14:textId="759A73DC" w:rsidR="0008724E" w:rsidRPr="00630F23" w:rsidRDefault="0008724E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MV – mechanical ventilation</w:t>
      </w:r>
    </w:p>
    <w:p w14:paraId="29F502F2" w14:textId="688C33CE" w:rsidR="00543D6B" w:rsidRPr="00630F23" w:rsidRDefault="00543D6B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NOMI – non-occlusive mesenteric ischemia</w:t>
      </w:r>
    </w:p>
    <w:p w14:paraId="07E0BAAA" w14:textId="11A639DC" w:rsidR="0008724E" w:rsidRPr="00630F23" w:rsidRDefault="0008724E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PN – parenteral nutrition</w:t>
      </w:r>
    </w:p>
    <w:p w14:paraId="5A15D184" w14:textId="2875AA04" w:rsidR="00543D6B" w:rsidRPr="00630F23" w:rsidRDefault="00543D6B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PPI – proton pump inhibitor</w:t>
      </w:r>
      <w:r w:rsidR="00370DF4" w:rsidRPr="00630F23">
        <w:rPr>
          <w:i/>
          <w:sz w:val="20"/>
          <w:szCs w:val="20"/>
        </w:rPr>
        <w:t>s</w:t>
      </w:r>
    </w:p>
    <w:p w14:paraId="415BAEDD" w14:textId="2780F713" w:rsidR="0008724E" w:rsidRPr="00630F23" w:rsidRDefault="0008724E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RCT – randomized controlled trial</w:t>
      </w:r>
    </w:p>
    <w:p w14:paraId="12E658C7" w14:textId="69E93FE5" w:rsidR="00370DF4" w:rsidRPr="00630F23" w:rsidRDefault="00370DF4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 xml:space="preserve">RT PCR – real time </w:t>
      </w:r>
      <w:r w:rsidR="00691EE3" w:rsidRPr="00630F23">
        <w:rPr>
          <w:i/>
          <w:sz w:val="20"/>
          <w:szCs w:val="20"/>
        </w:rPr>
        <w:t>polymerase chain reaction</w:t>
      </w:r>
    </w:p>
    <w:p w14:paraId="2C336A24" w14:textId="193621E3" w:rsidR="00691EE3" w:rsidRPr="00630F23" w:rsidRDefault="00691EE3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SMA – smooth muscle actin</w:t>
      </w:r>
    </w:p>
    <w:p w14:paraId="5C36A186" w14:textId="4D925C0E" w:rsidR="00370DF4" w:rsidRPr="00630F23" w:rsidRDefault="00370DF4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SOFA – sequential organ failure assessment</w:t>
      </w:r>
    </w:p>
    <w:p w14:paraId="62309C37" w14:textId="53258A51" w:rsidR="00370DF4" w:rsidRPr="00630F23" w:rsidRDefault="00370DF4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TNF – tumor necrosis factor</w:t>
      </w:r>
    </w:p>
    <w:p w14:paraId="3ACA6E16" w14:textId="4FDE028A" w:rsidR="00E47F7C" w:rsidRPr="00630F23" w:rsidRDefault="00E47F7C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US – ultrasound</w:t>
      </w:r>
    </w:p>
    <w:p w14:paraId="7983D9E1" w14:textId="6447B8C1" w:rsidR="00370DF4" w:rsidRPr="00630F23" w:rsidRDefault="00370DF4" w:rsidP="00A86EDB">
      <w:pPr>
        <w:rPr>
          <w:i/>
          <w:sz w:val="20"/>
          <w:szCs w:val="20"/>
        </w:rPr>
      </w:pPr>
      <w:r w:rsidRPr="00630F23">
        <w:rPr>
          <w:i/>
          <w:sz w:val="20"/>
          <w:szCs w:val="20"/>
        </w:rPr>
        <w:t>3-OMG - 3-O-methylglucose</w:t>
      </w:r>
    </w:p>
    <w:p w14:paraId="657D3240" w14:textId="77777777" w:rsidR="00E47F7C" w:rsidRPr="00630F23" w:rsidRDefault="00E47F7C" w:rsidP="00A86EDB">
      <w:pPr>
        <w:rPr>
          <w:i/>
          <w:sz w:val="20"/>
          <w:szCs w:val="20"/>
        </w:rPr>
      </w:pPr>
    </w:p>
    <w:p w14:paraId="05E3A92E" w14:textId="61C31F9C" w:rsidR="004A3AC9" w:rsidRPr="00CD3312" w:rsidRDefault="00223C47" w:rsidP="00574295">
      <w:pPr>
        <w:ind w:right="686"/>
        <w:rPr>
          <w:i/>
          <w:sz w:val="20"/>
          <w:szCs w:val="20"/>
        </w:rPr>
      </w:pPr>
      <w:r w:rsidRPr="00CD3312">
        <w:rPr>
          <w:i/>
          <w:sz w:val="20"/>
          <w:szCs w:val="20"/>
        </w:rPr>
        <w:t>* GI symptoms include</w:t>
      </w:r>
      <w:r w:rsidR="006F5EF0" w:rsidRPr="00CD3312">
        <w:rPr>
          <w:i/>
          <w:sz w:val="20"/>
          <w:szCs w:val="20"/>
        </w:rPr>
        <w:t xml:space="preserve"> vomiting/regurgitation, </w:t>
      </w:r>
      <w:r w:rsidR="002F6CF2" w:rsidRPr="00CD3312">
        <w:rPr>
          <w:i/>
          <w:sz w:val="20"/>
          <w:szCs w:val="20"/>
        </w:rPr>
        <w:t xml:space="preserve">abdominal distension, GI bleeding, </w:t>
      </w:r>
      <w:proofErr w:type="spellStart"/>
      <w:r w:rsidR="002F6CF2" w:rsidRPr="00CD3312">
        <w:rPr>
          <w:i/>
          <w:sz w:val="20"/>
          <w:szCs w:val="20"/>
        </w:rPr>
        <w:t>diarr</w:t>
      </w:r>
      <w:r w:rsidR="003E5634" w:rsidRPr="00CD3312">
        <w:rPr>
          <w:i/>
          <w:sz w:val="20"/>
          <w:szCs w:val="20"/>
        </w:rPr>
        <w:t>o</w:t>
      </w:r>
      <w:r w:rsidR="002F6CF2" w:rsidRPr="00CD3312">
        <w:rPr>
          <w:i/>
          <w:sz w:val="20"/>
          <w:szCs w:val="20"/>
        </w:rPr>
        <w:t>hea</w:t>
      </w:r>
      <w:proofErr w:type="spellEnd"/>
      <w:r w:rsidR="002F6CF2" w:rsidRPr="00CD3312">
        <w:rPr>
          <w:i/>
          <w:sz w:val="20"/>
          <w:szCs w:val="20"/>
        </w:rPr>
        <w:t>, bowel paralysis</w:t>
      </w:r>
      <w:proofErr w:type="gramStart"/>
      <w:r w:rsidR="002F6CF2" w:rsidRPr="00CD3312">
        <w:rPr>
          <w:i/>
          <w:sz w:val="20"/>
          <w:szCs w:val="20"/>
        </w:rPr>
        <w:t>,.</w:t>
      </w:r>
      <w:proofErr w:type="gramEnd"/>
      <w:r w:rsidR="002F6CF2" w:rsidRPr="00CD3312">
        <w:rPr>
          <w:i/>
          <w:sz w:val="20"/>
          <w:szCs w:val="20"/>
        </w:rPr>
        <w:t xml:space="preserve"> Expanded (if performed</w:t>
      </w:r>
      <w:r w:rsidR="003E5634" w:rsidRPr="00CD3312">
        <w:rPr>
          <w:i/>
          <w:sz w:val="20"/>
          <w:szCs w:val="20"/>
        </w:rPr>
        <w:t>/possible to assess</w:t>
      </w:r>
      <w:r w:rsidR="002F6CF2" w:rsidRPr="00CD3312">
        <w:rPr>
          <w:i/>
          <w:sz w:val="20"/>
          <w:szCs w:val="20"/>
        </w:rPr>
        <w:t xml:space="preserve">): </w:t>
      </w:r>
      <w:r w:rsidR="00861624" w:rsidRPr="00CD3312">
        <w:rPr>
          <w:i/>
          <w:sz w:val="20"/>
          <w:szCs w:val="20"/>
        </w:rPr>
        <w:t xml:space="preserve">nausea, </w:t>
      </w:r>
      <w:r w:rsidR="003E5634" w:rsidRPr="00CD3312">
        <w:rPr>
          <w:i/>
          <w:sz w:val="20"/>
          <w:szCs w:val="20"/>
        </w:rPr>
        <w:t xml:space="preserve">abdominal pain, </w:t>
      </w:r>
      <w:r w:rsidR="00CD3312">
        <w:rPr>
          <w:i/>
          <w:sz w:val="20"/>
          <w:szCs w:val="20"/>
        </w:rPr>
        <w:t xml:space="preserve">absence of bowel sounds, </w:t>
      </w:r>
      <w:r w:rsidR="002F6CF2" w:rsidRPr="00CD3312">
        <w:rPr>
          <w:i/>
          <w:sz w:val="20"/>
          <w:szCs w:val="20"/>
        </w:rPr>
        <w:t>large GRV (&gt;500 ml/6h), bowel dilatation (radiological), bowel wall thickening</w:t>
      </w:r>
      <w:r w:rsidR="00574295" w:rsidRPr="00CD3312">
        <w:rPr>
          <w:i/>
          <w:sz w:val="20"/>
          <w:szCs w:val="20"/>
        </w:rPr>
        <w:t>/bowel edema</w:t>
      </w:r>
      <w:r w:rsidR="002F6CF2" w:rsidRPr="00CD3312">
        <w:rPr>
          <w:i/>
          <w:sz w:val="20"/>
          <w:szCs w:val="20"/>
        </w:rPr>
        <w:t xml:space="preserve"> (radiological)</w:t>
      </w:r>
      <w:r w:rsidR="003E5634" w:rsidRPr="00CD3312">
        <w:rPr>
          <w:i/>
          <w:sz w:val="20"/>
          <w:szCs w:val="20"/>
        </w:rPr>
        <w:t xml:space="preserve"> </w:t>
      </w:r>
      <w:r w:rsidR="003E5634" w:rsidRPr="00CD3312">
        <w:rPr>
          <w:i/>
          <w:sz w:val="20"/>
          <w:szCs w:val="20"/>
          <w:vertAlign w:val="superscript"/>
        </w:rPr>
        <w:t>1</w:t>
      </w:r>
      <w:proofErr w:type="gramStart"/>
      <w:r w:rsidR="003E5634" w:rsidRPr="00CD3312">
        <w:rPr>
          <w:i/>
          <w:sz w:val="20"/>
          <w:szCs w:val="20"/>
          <w:vertAlign w:val="superscript"/>
        </w:rPr>
        <w:t>,2</w:t>
      </w:r>
      <w:proofErr w:type="gramEnd"/>
    </w:p>
    <w:p w14:paraId="77070E6B" w14:textId="1384DF8F" w:rsidR="00223C47" w:rsidRPr="00CD3312" w:rsidRDefault="00223C47" w:rsidP="00574295">
      <w:pPr>
        <w:ind w:right="686"/>
        <w:rPr>
          <w:i/>
          <w:sz w:val="20"/>
          <w:szCs w:val="20"/>
        </w:rPr>
      </w:pPr>
      <w:r w:rsidRPr="00CD3312">
        <w:rPr>
          <w:i/>
          <w:sz w:val="20"/>
          <w:szCs w:val="20"/>
        </w:rPr>
        <w:t># Core outcome set (COS) to be identified in consensus process</w:t>
      </w:r>
    </w:p>
    <w:p w14:paraId="02ABA838" w14:textId="77777777" w:rsidR="003E5634" w:rsidRPr="00CD3312" w:rsidRDefault="003E5634" w:rsidP="00574295">
      <w:pPr>
        <w:ind w:right="686"/>
        <w:rPr>
          <w:i/>
          <w:sz w:val="20"/>
          <w:szCs w:val="20"/>
        </w:rPr>
      </w:pPr>
    </w:p>
    <w:p w14:paraId="0DF68953" w14:textId="42619104" w:rsidR="003E5634" w:rsidRPr="00CD3312" w:rsidRDefault="00574295" w:rsidP="00574295">
      <w:pPr>
        <w:pStyle w:val="Paragraphedeliste"/>
        <w:numPr>
          <w:ilvl w:val="0"/>
          <w:numId w:val="14"/>
        </w:numPr>
        <w:ind w:right="686"/>
        <w:rPr>
          <w:sz w:val="20"/>
          <w:szCs w:val="20"/>
        </w:rPr>
      </w:pPr>
      <w:r w:rsidRPr="00CD3312">
        <w:rPr>
          <w:sz w:val="20"/>
          <w:szCs w:val="20"/>
        </w:rPr>
        <w:t>Reintam Blaser A, Malbrain ML, Starkopf J, Fruhwald S, Jakob SM, De Waele J, Braun JP, Poeze M, Spies C. Gastrointestinal function in intensive care patients: terminology, definitions and management. Recommendations of the ESICM Working Group on Abdominal Problems. Intensive Care Med. 2012 Mar;38(3):384-94. doi:10.1007/s00134-011-2459-y</w:t>
      </w:r>
    </w:p>
    <w:p w14:paraId="34051E32" w14:textId="138D9AC9" w:rsidR="00574295" w:rsidRPr="00CD3312" w:rsidRDefault="00574295" w:rsidP="00574295">
      <w:pPr>
        <w:pStyle w:val="Paragraphedeliste"/>
        <w:numPr>
          <w:ilvl w:val="0"/>
          <w:numId w:val="14"/>
        </w:numPr>
        <w:ind w:right="686"/>
        <w:rPr>
          <w:sz w:val="20"/>
          <w:szCs w:val="20"/>
        </w:rPr>
      </w:pPr>
      <w:r w:rsidRPr="00CD3312">
        <w:rPr>
          <w:sz w:val="20"/>
          <w:szCs w:val="20"/>
        </w:rPr>
        <w:t>Reintam Blaser A, Starkopf J, Moonen PJ, Malbrain MLNG, Oudemans-van Straaten HM. Perioperative gastrointestinal problems in the ICU. Anaesthesiol Intensive Ther. 2018;50(1):59-71. doi: 10.5603/AIT.a2017.0064</w:t>
      </w:r>
    </w:p>
    <w:sectPr w:rsidR="00574295" w:rsidRPr="00CD3312" w:rsidSect="00E55693">
      <w:pgSz w:w="16820" w:h="11900" w:orient="landscape"/>
      <w:pgMar w:top="851" w:right="23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7651"/>
    <w:multiLevelType w:val="hybridMultilevel"/>
    <w:tmpl w:val="96966EA4"/>
    <w:lvl w:ilvl="0" w:tplc="F0D6F58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837"/>
    <w:multiLevelType w:val="hybridMultilevel"/>
    <w:tmpl w:val="B1A8F82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88E67BC"/>
    <w:multiLevelType w:val="hybridMultilevel"/>
    <w:tmpl w:val="C144F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72E"/>
    <w:multiLevelType w:val="hybridMultilevel"/>
    <w:tmpl w:val="B052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7F32"/>
    <w:multiLevelType w:val="hybridMultilevel"/>
    <w:tmpl w:val="09566ADC"/>
    <w:lvl w:ilvl="0" w:tplc="DFB232C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63F11"/>
    <w:multiLevelType w:val="hybridMultilevel"/>
    <w:tmpl w:val="A704F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4ADF"/>
    <w:multiLevelType w:val="hybridMultilevel"/>
    <w:tmpl w:val="661EE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2EBB"/>
    <w:multiLevelType w:val="multilevel"/>
    <w:tmpl w:val="433473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DE5415"/>
    <w:multiLevelType w:val="hybridMultilevel"/>
    <w:tmpl w:val="A704F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27DB"/>
    <w:multiLevelType w:val="hybridMultilevel"/>
    <w:tmpl w:val="A7AABEC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54133"/>
    <w:multiLevelType w:val="hybridMultilevel"/>
    <w:tmpl w:val="8F763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94032"/>
    <w:multiLevelType w:val="hybridMultilevel"/>
    <w:tmpl w:val="7892FB7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CC7060"/>
    <w:multiLevelType w:val="hybridMultilevel"/>
    <w:tmpl w:val="4EE075E6"/>
    <w:lvl w:ilvl="0" w:tplc="9390A7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E4721"/>
    <w:multiLevelType w:val="multilevel"/>
    <w:tmpl w:val="FF7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B9B4728"/>
    <w:multiLevelType w:val="hybridMultilevel"/>
    <w:tmpl w:val="C13CC2F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E834A3B"/>
    <w:multiLevelType w:val="hybridMultilevel"/>
    <w:tmpl w:val="E21CDC66"/>
    <w:lvl w:ilvl="0" w:tplc="1A28B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5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C9"/>
    <w:rsid w:val="00000A42"/>
    <w:rsid w:val="00002535"/>
    <w:rsid w:val="00004DB3"/>
    <w:rsid w:val="000148C3"/>
    <w:rsid w:val="0001490E"/>
    <w:rsid w:val="000159CD"/>
    <w:rsid w:val="00023697"/>
    <w:rsid w:val="00023CEC"/>
    <w:rsid w:val="000332B8"/>
    <w:rsid w:val="00043178"/>
    <w:rsid w:val="000471D3"/>
    <w:rsid w:val="0006230F"/>
    <w:rsid w:val="00081417"/>
    <w:rsid w:val="000836A4"/>
    <w:rsid w:val="0008724E"/>
    <w:rsid w:val="00096141"/>
    <w:rsid w:val="000A1ACA"/>
    <w:rsid w:val="000A2C90"/>
    <w:rsid w:val="000C61E2"/>
    <w:rsid w:val="000D1BC0"/>
    <w:rsid w:val="000D4898"/>
    <w:rsid w:val="000E3A28"/>
    <w:rsid w:val="000E3C4F"/>
    <w:rsid w:val="000E4216"/>
    <w:rsid w:val="000E47C0"/>
    <w:rsid w:val="000E7F54"/>
    <w:rsid w:val="000F2965"/>
    <w:rsid w:val="000F3596"/>
    <w:rsid w:val="00100BA1"/>
    <w:rsid w:val="00101298"/>
    <w:rsid w:val="00101D1B"/>
    <w:rsid w:val="00106767"/>
    <w:rsid w:val="00111E7F"/>
    <w:rsid w:val="00115A6E"/>
    <w:rsid w:val="00120F42"/>
    <w:rsid w:val="00125C1F"/>
    <w:rsid w:val="00131180"/>
    <w:rsid w:val="00131CDD"/>
    <w:rsid w:val="00132573"/>
    <w:rsid w:val="00140E4C"/>
    <w:rsid w:val="001439E0"/>
    <w:rsid w:val="0015237F"/>
    <w:rsid w:val="00167E2D"/>
    <w:rsid w:val="001777B5"/>
    <w:rsid w:val="0018110E"/>
    <w:rsid w:val="00193287"/>
    <w:rsid w:val="00194699"/>
    <w:rsid w:val="001A4A06"/>
    <w:rsid w:val="001B0B3A"/>
    <w:rsid w:val="001B1B90"/>
    <w:rsid w:val="001B44FA"/>
    <w:rsid w:val="001B7401"/>
    <w:rsid w:val="001C113D"/>
    <w:rsid w:val="001C1AE1"/>
    <w:rsid w:val="001C6182"/>
    <w:rsid w:val="001D124F"/>
    <w:rsid w:val="001E66D0"/>
    <w:rsid w:val="001F1AED"/>
    <w:rsid w:val="001F2B71"/>
    <w:rsid w:val="001F49A4"/>
    <w:rsid w:val="002018C6"/>
    <w:rsid w:val="00202EBF"/>
    <w:rsid w:val="00203FFA"/>
    <w:rsid w:val="00214D46"/>
    <w:rsid w:val="00222983"/>
    <w:rsid w:val="00223C47"/>
    <w:rsid w:val="002243FF"/>
    <w:rsid w:val="0022471F"/>
    <w:rsid w:val="00227385"/>
    <w:rsid w:val="00235049"/>
    <w:rsid w:val="0023650E"/>
    <w:rsid w:val="0023779A"/>
    <w:rsid w:val="00237F6E"/>
    <w:rsid w:val="00240AE3"/>
    <w:rsid w:val="00251DB1"/>
    <w:rsid w:val="00252032"/>
    <w:rsid w:val="00254F18"/>
    <w:rsid w:val="00255BB5"/>
    <w:rsid w:val="0026608E"/>
    <w:rsid w:val="002768CC"/>
    <w:rsid w:val="00277177"/>
    <w:rsid w:val="00285B91"/>
    <w:rsid w:val="00287534"/>
    <w:rsid w:val="00296503"/>
    <w:rsid w:val="002A7FE8"/>
    <w:rsid w:val="002B0CB7"/>
    <w:rsid w:val="002B2595"/>
    <w:rsid w:val="002B603D"/>
    <w:rsid w:val="002C1FEB"/>
    <w:rsid w:val="002C39BD"/>
    <w:rsid w:val="002C3FA1"/>
    <w:rsid w:val="002D3E3B"/>
    <w:rsid w:val="002D7332"/>
    <w:rsid w:val="002E2EC2"/>
    <w:rsid w:val="002E7822"/>
    <w:rsid w:val="002E7FFD"/>
    <w:rsid w:val="002F056A"/>
    <w:rsid w:val="002F1AF3"/>
    <w:rsid w:val="002F1BA1"/>
    <w:rsid w:val="002F6CF2"/>
    <w:rsid w:val="00312304"/>
    <w:rsid w:val="00320A92"/>
    <w:rsid w:val="00321C78"/>
    <w:rsid w:val="003359E8"/>
    <w:rsid w:val="00337501"/>
    <w:rsid w:val="00340D5D"/>
    <w:rsid w:val="00342CF7"/>
    <w:rsid w:val="003559D0"/>
    <w:rsid w:val="0036306A"/>
    <w:rsid w:val="00365D1A"/>
    <w:rsid w:val="003706BD"/>
    <w:rsid w:val="00370DF4"/>
    <w:rsid w:val="003823C8"/>
    <w:rsid w:val="00393B88"/>
    <w:rsid w:val="003A55CF"/>
    <w:rsid w:val="003A6B36"/>
    <w:rsid w:val="003B3046"/>
    <w:rsid w:val="003B67EC"/>
    <w:rsid w:val="003C059A"/>
    <w:rsid w:val="003C1874"/>
    <w:rsid w:val="003C35F3"/>
    <w:rsid w:val="003C5773"/>
    <w:rsid w:val="003D7B65"/>
    <w:rsid w:val="003E5634"/>
    <w:rsid w:val="003E7177"/>
    <w:rsid w:val="003F30F7"/>
    <w:rsid w:val="00411644"/>
    <w:rsid w:val="004159EB"/>
    <w:rsid w:val="00417151"/>
    <w:rsid w:val="00420710"/>
    <w:rsid w:val="0042306F"/>
    <w:rsid w:val="00424D77"/>
    <w:rsid w:val="0043489F"/>
    <w:rsid w:val="00440B19"/>
    <w:rsid w:val="00444405"/>
    <w:rsid w:val="00445B60"/>
    <w:rsid w:val="00460C84"/>
    <w:rsid w:val="00465CCB"/>
    <w:rsid w:val="004730F7"/>
    <w:rsid w:val="004769C5"/>
    <w:rsid w:val="004868FD"/>
    <w:rsid w:val="0049283F"/>
    <w:rsid w:val="00497048"/>
    <w:rsid w:val="004A1A92"/>
    <w:rsid w:val="004A2CA8"/>
    <w:rsid w:val="004A3AC9"/>
    <w:rsid w:val="004B6A94"/>
    <w:rsid w:val="004C1D43"/>
    <w:rsid w:val="004C5837"/>
    <w:rsid w:val="004C72EC"/>
    <w:rsid w:val="004D668F"/>
    <w:rsid w:val="004E0712"/>
    <w:rsid w:val="004E0CA4"/>
    <w:rsid w:val="004E2956"/>
    <w:rsid w:val="004E4C64"/>
    <w:rsid w:val="004F1E29"/>
    <w:rsid w:val="004F3143"/>
    <w:rsid w:val="004F3E0E"/>
    <w:rsid w:val="00501512"/>
    <w:rsid w:val="00511BD0"/>
    <w:rsid w:val="00512C1E"/>
    <w:rsid w:val="00517FE4"/>
    <w:rsid w:val="00522078"/>
    <w:rsid w:val="00541966"/>
    <w:rsid w:val="00542ED1"/>
    <w:rsid w:val="00543D6B"/>
    <w:rsid w:val="005576C3"/>
    <w:rsid w:val="005579A1"/>
    <w:rsid w:val="00566C13"/>
    <w:rsid w:val="00574295"/>
    <w:rsid w:val="005803DF"/>
    <w:rsid w:val="005815AA"/>
    <w:rsid w:val="00583118"/>
    <w:rsid w:val="005960D9"/>
    <w:rsid w:val="005A200B"/>
    <w:rsid w:val="005A3533"/>
    <w:rsid w:val="005A521A"/>
    <w:rsid w:val="005B44E9"/>
    <w:rsid w:val="005B5C77"/>
    <w:rsid w:val="005C0663"/>
    <w:rsid w:val="005C2C8F"/>
    <w:rsid w:val="005D5CF2"/>
    <w:rsid w:val="005E4DB3"/>
    <w:rsid w:val="005F66D2"/>
    <w:rsid w:val="00604134"/>
    <w:rsid w:val="00606CCD"/>
    <w:rsid w:val="00613303"/>
    <w:rsid w:val="00630F23"/>
    <w:rsid w:val="006343E3"/>
    <w:rsid w:val="00634D47"/>
    <w:rsid w:val="0064380B"/>
    <w:rsid w:val="00650E56"/>
    <w:rsid w:val="0065373C"/>
    <w:rsid w:val="00654AF8"/>
    <w:rsid w:val="00655684"/>
    <w:rsid w:val="00660CF3"/>
    <w:rsid w:val="0066304C"/>
    <w:rsid w:val="00667687"/>
    <w:rsid w:val="00670C07"/>
    <w:rsid w:val="00675F71"/>
    <w:rsid w:val="00684BB0"/>
    <w:rsid w:val="00691EE3"/>
    <w:rsid w:val="00694247"/>
    <w:rsid w:val="006A3388"/>
    <w:rsid w:val="006A3E39"/>
    <w:rsid w:val="006B09F4"/>
    <w:rsid w:val="006B11C7"/>
    <w:rsid w:val="006B3462"/>
    <w:rsid w:val="006C2AD0"/>
    <w:rsid w:val="006C7352"/>
    <w:rsid w:val="006C7DAF"/>
    <w:rsid w:val="006D1B6D"/>
    <w:rsid w:val="006F099C"/>
    <w:rsid w:val="006F5EF0"/>
    <w:rsid w:val="00703D11"/>
    <w:rsid w:val="0070499F"/>
    <w:rsid w:val="0072014D"/>
    <w:rsid w:val="00721398"/>
    <w:rsid w:val="00726DDC"/>
    <w:rsid w:val="007629BC"/>
    <w:rsid w:val="007630BE"/>
    <w:rsid w:val="00774B82"/>
    <w:rsid w:val="00774F38"/>
    <w:rsid w:val="0077625B"/>
    <w:rsid w:val="00776747"/>
    <w:rsid w:val="00781221"/>
    <w:rsid w:val="0078232E"/>
    <w:rsid w:val="007B0031"/>
    <w:rsid w:val="007B5694"/>
    <w:rsid w:val="007C677F"/>
    <w:rsid w:val="007D0781"/>
    <w:rsid w:val="007D3D63"/>
    <w:rsid w:val="007E5A62"/>
    <w:rsid w:val="007E629E"/>
    <w:rsid w:val="007F2A33"/>
    <w:rsid w:val="007F6D8C"/>
    <w:rsid w:val="008052B4"/>
    <w:rsid w:val="00810298"/>
    <w:rsid w:val="0081072C"/>
    <w:rsid w:val="00820490"/>
    <w:rsid w:val="00832956"/>
    <w:rsid w:val="00833060"/>
    <w:rsid w:val="00835789"/>
    <w:rsid w:val="00835C1F"/>
    <w:rsid w:val="00837A41"/>
    <w:rsid w:val="008535A3"/>
    <w:rsid w:val="00857167"/>
    <w:rsid w:val="00861624"/>
    <w:rsid w:val="00864647"/>
    <w:rsid w:val="00866AF8"/>
    <w:rsid w:val="0087080B"/>
    <w:rsid w:val="00896E42"/>
    <w:rsid w:val="008A4DAE"/>
    <w:rsid w:val="008A58D1"/>
    <w:rsid w:val="008C692E"/>
    <w:rsid w:val="008F0CF9"/>
    <w:rsid w:val="008F52FF"/>
    <w:rsid w:val="00901F43"/>
    <w:rsid w:val="00907C00"/>
    <w:rsid w:val="009125B5"/>
    <w:rsid w:val="00921AED"/>
    <w:rsid w:val="00927CA3"/>
    <w:rsid w:val="00935385"/>
    <w:rsid w:val="009513F4"/>
    <w:rsid w:val="00952866"/>
    <w:rsid w:val="00954BFD"/>
    <w:rsid w:val="00991BEC"/>
    <w:rsid w:val="00997687"/>
    <w:rsid w:val="009B2107"/>
    <w:rsid w:val="009B71D0"/>
    <w:rsid w:val="009C3FF5"/>
    <w:rsid w:val="009C50E6"/>
    <w:rsid w:val="009C77ED"/>
    <w:rsid w:val="009D1B3B"/>
    <w:rsid w:val="009D702E"/>
    <w:rsid w:val="009F714E"/>
    <w:rsid w:val="009F7D49"/>
    <w:rsid w:val="00A11A8C"/>
    <w:rsid w:val="00A12386"/>
    <w:rsid w:val="00A2025C"/>
    <w:rsid w:val="00A246AC"/>
    <w:rsid w:val="00A24D10"/>
    <w:rsid w:val="00A41C24"/>
    <w:rsid w:val="00A44839"/>
    <w:rsid w:val="00A51A34"/>
    <w:rsid w:val="00A555D9"/>
    <w:rsid w:val="00A61F0F"/>
    <w:rsid w:val="00A76541"/>
    <w:rsid w:val="00A82D9C"/>
    <w:rsid w:val="00A86EDB"/>
    <w:rsid w:val="00A960CD"/>
    <w:rsid w:val="00AA5213"/>
    <w:rsid w:val="00AA63E5"/>
    <w:rsid w:val="00AB280F"/>
    <w:rsid w:val="00AB2D20"/>
    <w:rsid w:val="00AC01AB"/>
    <w:rsid w:val="00AD3380"/>
    <w:rsid w:val="00AD3602"/>
    <w:rsid w:val="00AE576C"/>
    <w:rsid w:val="00AF08F6"/>
    <w:rsid w:val="00AF3ED7"/>
    <w:rsid w:val="00AF5B80"/>
    <w:rsid w:val="00B026EB"/>
    <w:rsid w:val="00B077EE"/>
    <w:rsid w:val="00B10C40"/>
    <w:rsid w:val="00B15FA7"/>
    <w:rsid w:val="00B23396"/>
    <w:rsid w:val="00B3029C"/>
    <w:rsid w:val="00B32C9B"/>
    <w:rsid w:val="00B37C64"/>
    <w:rsid w:val="00B46663"/>
    <w:rsid w:val="00B52D19"/>
    <w:rsid w:val="00B627AB"/>
    <w:rsid w:val="00B66E19"/>
    <w:rsid w:val="00B70C2E"/>
    <w:rsid w:val="00B96657"/>
    <w:rsid w:val="00BA09BA"/>
    <w:rsid w:val="00BC6A85"/>
    <w:rsid w:val="00BE2882"/>
    <w:rsid w:val="00BF0B6E"/>
    <w:rsid w:val="00BF50E2"/>
    <w:rsid w:val="00C0057F"/>
    <w:rsid w:val="00C06EA3"/>
    <w:rsid w:val="00C220BB"/>
    <w:rsid w:val="00C3541A"/>
    <w:rsid w:val="00C37E2F"/>
    <w:rsid w:val="00C52DC0"/>
    <w:rsid w:val="00C56303"/>
    <w:rsid w:val="00C802FA"/>
    <w:rsid w:val="00C83EF8"/>
    <w:rsid w:val="00C83FEC"/>
    <w:rsid w:val="00C847B8"/>
    <w:rsid w:val="00C85054"/>
    <w:rsid w:val="00C93BEA"/>
    <w:rsid w:val="00C97697"/>
    <w:rsid w:val="00CA2336"/>
    <w:rsid w:val="00CA305A"/>
    <w:rsid w:val="00CA4041"/>
    <w:rsid w:val="00CA4C9C"/>
    <w:rsid w:val="00CB29BD"/>
    <w:rsid w:val="00CB3AF0"/>
    <w:rsid w:val="00CB54E4"/>
    <w:rsid w:val="00CB5AE2"/>
    <w:rsid w:val="00CB70CD"/>
    <w:rsid w:val="00CB7BF3"/>
    <w:rsid w:val="00CC6A31"/>
    <w:rsid w:val="00CC782B"/>
    <w:rsid w:val="00CD3312"/>
    <w:rsid w:val="00CD3C92"/>
    <w:rsid w:val="00CF1919"/>
    <w:rsid w:val="00CF464D"/>
    <w:rsid w:val="00D154C1"/>
    <w:rsid w:val="00D21A48"/>
    <w:rsid w:val="00D40159"/>
    <w:rsid w:val="00D40771"/>
    <w:rsid w:val="00D42652"/>
    <w:rsid w:val="00D43747"/>
    <w:rsid w:val="00D51AAE"/>
    <w:rsid w:val="00D541C8"/>
    <w:rsid w:val="00D64F3D"/>
    <w:rsid w:val="00D70C7E"/>
    <w:rsid w:val="00D951C3"/>
    <w:rsid w:val="00D96766"/>
    <w:rsid w:val="00DA687C"/>
    <w:rsid w:val="00DB188E"/>
    <w:rsid w:val="00DB1D65"/>
    <w:rsid w:val="00DB3B9B"/>
    <w:rsid w:val="00DB7B0A"/>
    <w:rsid w:val="00DC6513"/>
    <w:rsid w:val="00DD22D0"/>
    <w:rsid w:val="00DE175E"/>
    <w:rsid w:val="00DE18EB"/>
    <w:rsid w:val="00DE2CFF"/>
    <w:rsid w:val="00DE76ED"/>
    <w:rsid w:val="00DF37B9"/>
    <w:rsid w:val="00E10126"/>
    <w:rsid w:val="00E10187"/>
    <w:rsid w:val="00E1717E"/>
    <w:rsid w:val="00E17947"/>
    <w:rsid w:val="00E17B26"/>
    <w:rsid w:val="00E34E65"/>
    <w:rsid w:val="00E376D5"/>
    <w:rsid w:val="00E47F7C"/>
    <w:rsid w:val="00E55693"/>
    <w:rsid w:val="00E6222A"/>
    <w:rsid w:val="00E64D10"/>
    <w:rsid w:val="00E6709E"/>
    <w:rsid w:val="00E8330A"/>
    <w:rsid w:val="00E95807"/>
    <w:rsid w:val="00EA2C08"/>
    <w:rsid w:val="00EC168A"/>
    <w:rsid w:val="00EC3C4A"/>
    <w:rsid w:val="00EC3D54"/>
    <w:rsid w:val="00ED3149"/>
    <w:rsid w:val="00ED4C23"/>
    <w:rsid w:val="00ED785E"/>
    <w:rsid w:val="00EE560B"/>
    <w:rsid w:val="00EF04C8"/>
    <w:rsid w:val="00EF400D"/>
    <w:rsid w:val="00EF5C41"/>
    <w:rsid w:val="00F058BB"/>
    <w:rsid w:val="00F07108"/>
    <w:rsid w:val="00F07732"/>
    <w:rsid w:val="00F15942"/>
    <w:rsid w:val="00F17033"/>
    <w:rsid w:val="00F268A5"/>
    <w:rsid w:val="00F3799A"/>
    <w:rsid w:val="00F42A6F"/>
    <w:rsid w:val="00F47336"/>
    <w:rsid w:val="00F50585"/>
    <w:rsid w:val="00F514E5"/>
    <w:rsid w:val="00F5340D"/>
    <w:rsid w:val="00F562FF"/>
    <w:rsid w:val="00F57B08"/>
    <w:rsid w:val="00F61192"/>
    <w:rsid w:val="00F81CBF"/>
    <w:rsid w:val="00F842FA"/>
    <w:rsid w:val="00F8491F"/>
    <w:rsid w:val="00F97F5D"/>
    <w:rsid w:val="00FA2AAF"/>
    <w:rsid w:val="00FB15EF"/>
    <w:rsid w:val="00FB372E"/>
    <w:rsid w:val="00FC2080"/>
    <w:rsid w:val="00FC37D2"/>
    <w:rsid w:val="00FD2213"/>
    <w:rsid w:val="00F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D5EEB"/>
  <w14:defaultImageDpi w14:val="300"/>
  <w15:docId w15:val="{6C79CBCA-ACEC-4CE1-B9E2-F76F0FA8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3AC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BE"/>
    </w:rPr>
  </w:style>
  <w:style w:type="table" w:styleId="Listeclaire-Accent1">
    <w:name w:val="Light List Accent 1"/>
    <w:basedOn w:val="TableauNormal"/>
    <w:uiPriority w:val="61"/>
    <w:rsid w:val="004A3AC9"/>
    <w:rPr>
      <w:lang w:val="de-DE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4A3AC9"/>
    <w:pPr>
      <w:spacing w:after="200"/>
    </w:pPr>
    <w:rPr>
      <w:b/>
      <w:bCs/>
      <w:color w:val="4F81BD" w:themeColor="accent1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C72E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4C72EC"/>
  </w:style>
  <w:style w:type="character" w:customStyle="1" w:styleId="CommentaireCar">
    <w:name w:val="Commentaire Car"/>
    <w:basedOn w:val="Policepardfaut"/>
    <w:link w:val="Commentaire"/>
    <w:uiPriority w:val="99"/>
    <w:rsid w:val="004C72E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72E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72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2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2EC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35049"/>
    <w:rPr>
      <w:color w:val="0000FF" w:themeColor="hyperlink"/>
      <w:u w:val="single"/>
    </w:rPr>
  </w:style>
  <w:style w:type="paragraph" w:customStyle="1" w:styleId="Titel1">
    <w:name w:val="Titel1"/>
    <w:basedOn w:val="Normal"/>
    <w:rsid w:val="002350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paragraph" w:customStyle="1" w:styleId="desc">
    <w:name w:val="desc"/>
    <w:basedOn w:val="Normal"/>
    <w:rsid w:val="002350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jrnl">
    <w:name w:val="jrnl"/>
    <w:basedOn w:val="Policepardfaut"/>
    <w:rsid w:val="00235049"/>
  </w:style>
  <w:style w:type="paragraph" w:styleId="Rvision">
    <w:name w:val="Revision"/>
    <w:hidden/>
    <w:uiPriority w:val="99"/>
    <w:semiHidden/>
    <w:rsid w:val="00774B82"/>
  </w:style>
  <w:style w:type="paragraph" w:customStyle="1" w:styleId="Title1">
    <w:name w:val="Title1"/>
    <w:basedOn w:val="Normal"/>
    <w:rsid w:val="002F1A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paragraph" w:customStyle="1" w:styleId="details">
    <w:name w:val="details"/>
    <w:basedOn w:val="Normal"/>
    <w:rsid w:val="002F1A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96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6BEF-AB7E-4224-BCFC-0CC6753B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2129</Words>
  <Characters>11714</Characters>
  <Application>Microsoft Office Word</Application>
  <DocSecurity>0</DocSecurity>
  <Lines>97</Lines>
  <Paragraphs>27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Hopital Erasme</Company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Mette Berger</cp:lastModifiedBy>
  <cp:revision>2</cp:revision>
  <cp:lastPrinted>2018-10-15T10:23:00Z</cp:lastPrinted>
  <dcterms:created xsi:type="dcterms:W3CDTF">2019-03-26T14:18:00Z</dcterms:created>
  <dcterms:modified xsi:type="dcterms:W3CDTF">2019-03-26T14:18:00Z</dcterms:modified>
</cp:coreProperties>
</file>